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w="-510" w:type="dxa"/>
        <w:tblBorders>
          <w:top w:val="single" w:sz="12" w:space="0" w:color="00000A"/>
          <w:left w:val="single" w:sz="12" w:space="0" w:color="00000A"/>
          <w:bottom w:val="single" w:sz="12" w:space="0" w:color="00000A"/>
          <w:insideH w:val="single" w:sz="12" w:space="0" w:color="00000A"/>
          <w:right w:val="single" w:sz="6" w:space="0" w:color="00000A"/>
          <w:insideV w:val="single" w:sz="6" w:space="0" w:color="00000A"/>
        </w:tblBorders>
        <w:tblCellMar>
          <w:top w:w="0" w:type="dxa"/>
          <w:left w:w="98" w:type="dxa"/>
          <w:bottom w:w="0" w:type="dxa"/>
          <w:right w:w="108" w:type="dxa"/>
        </w:tblCellMar>
      </w:tblPr>
      <w:tblGrid>
        <w:gridCol w:w="844"/>
        <w:gridCol w:w="6576"/>
        <w:gridCol w:w="1561"/>
        <w:gridCol w:w="1275"/>
      </w:tblGrid>
      <w:tr>
        <w:trPr>
          <w:cantSplit w:val="false"/>
        </w:trPr>
        <w:tc>
          <w:tcPr>
            <w:tcW w:w="844" w:type="dxa"/>
            <w:tcBorders>
              <w:top w:val="single" w:sz="12" w:space="0" w:color="00000A"/>
              <w:left w:val="single" w:sz="12" w:space="0" w:color="00000A"/>
              <w:bottom w:val="single" w:sz="12" w:space="0" w:color="00000A"/>
              <w:insideH w:val="single" w:sz="12" w:space="0" w:color="00000A"/>
              <w:right w:val="single" w:sz="6" w:space="0" w:color="00000A"/>
              <w:insideV w:val="single" w:sz="6" w:space="0" w:color="00000A"/>
            </w:tcBorders>
            <w:shd w:fill="auto" w:val="clear"/>
            <w:tcMar>
              <w:left w:w="98" w:type="dxa"/>
            </w:tcMar>
          </w:tcPr>
          <w:p>
            <w:pPr>
              <w:pStyle w:val="Index"/>
              <w:overflowPunct w:val="true"/>
              <w:spacing w:lineRule="atLeast" w:line="240" w:before="0" w:after="0"/>
              <w:jc w:val="center"/>
              <w:textAlignment w:val="baseline"/>
              <w:rPr>
                <w:rFonts w:cs="Arial" w:ascii="Arial Narrow" w:hAnsi="Arial Narrow"/>
                <w:sz w:val="20"/>
              </w:rPr>
            </w:pPr>
            <w:r>
              <w:rPr>
                <w:rFonts w:cs="Arial" w:ascii="Arial Narrow" w:hAnsi="Arial Narrow"/>
                <w:sz w:val="20"/>
              </w:rPr>
              <w:t>r.</w:t>
            </w:r>
          </w:p>
        </w:tc>
        <w:tc>
          <w:tcPr>
            <w:tcW w:w="6576"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auto" w:val="clear"/>
            <w:tcMar>
              <w:left w:w="105" w:type="dxa"/>
            </w:tcMar>
          </w:tcPr>
          <w:p>
            <w:pPr>
              <w:pStyle w:val="Index"/>
              <w:overflowPunct w:val="true"/>
              <w:spacing w:lineRule="atLeast" w:line="240" w:before="0" w:after="0"/>
              <w:jc w:val="center"/>
              <w:textAlignment w:val="baseline"/>
              <w:rPr>
                <w:rFonts w:cs="Arial" w:ascii="Arial Narrow" w:hAnsi="Arial Narrow"/>
                <w:sz w:val="20"/>
              </w:rPr>
            </w:pPr>
            <w:r>
              <w:rPr>
                <w:rFonts w:cs="Arial" w:ascii="Arial Narrow" w:hAnsi="Arial Narrow"/>
                <w:sz w:val="20"/>
              </w:rPr>
              <w:t>Muudatus</w:t>
            </w:r>
          </w:p>
        </w:tc>
        <w:tc>
          <w:tcPr>
            <w:tcW w:w="1561" w:type="dxa"/>
            <w:tcBorders>
              <w:top w:val="single" w:sz="12" w:space="0" w:color="00000A"/>
              <w:left w:val="single" w:sz="6" w:space="0" w:color="00000A"/>
              <w:bottom w:val="single" w:sz="12" w:space="0" w:color="00000A"/>
              <w:insideH w:val="single" w:sz="12" w:space="0" w:color="00000A"/>
              <w:right w:val="single" w:sz="6" w:space="0" w:color="00000A"/>
              <w:insideV w:val="single" w:sz="6" w:space="0" w:color="00000A"/>
            </w:tcBorders>
            <w:shd w:fill="auto" w:val="clear"/>
            <w:tcMar>
              <w:left w:w="105" w:type="dxa"/>
            </w:tcMar>
          </w:tcPr>
          <w:p>
            <w:pPr>
              <w:pStyle w:val="Index"/>
              <w:overflowPunct w:val="true"/>
              <w:spacing w:lineRule="atLeast" w:line="240" w:before="0" w:after="0"/>
              <w:jc w:val="center"/>
              <w:textAlignment w:val="baseline"/>
              <w:rPr>
                <w:rFonts w:cs="Arial" w:ascii="Arial Narrow" w:hAnsi="Arial Narrow"/>
                <w:sz w:val="20"/>
              </w:rPr>
            </w:pPr>
            <w:r>
              <w:rPr>
                <w:rFonts w:cs="Arial" w:ascii="Arial Narrow" w:hAnsi="Arial Narrow"/>
                <w:sz w:val="20"/>
              </w:rPr>
              <w:t>Muutja</w:t>
            </w:r>
          </w:p>
        </w:tc>
        <w:tc>
          <w:tcPr>
            <w:tcW w:w="1275" w:type="dxa"/>
            <w:tcBorders>
              <w:top w:val="single" w:sz="12" w:space="0" w:color="00000A"/>
              <w:left w:val="single" w:sz="6" w:space="0" w:color="00000A"/>
              <w:bottom w:val="single" w:sz="12" w:space="0" w:color="00000A"/>
              <w:insideH w:val="single" w:sz="12" w:space="0" w:color="00000A"/>
              <w:right w:val="single" w:sz="12" w:space="0" w:color="00000A"/>
              <w:insideV w:val="single" w:sz="12" w:space="0" w:color="00000A"/>
            </w:tcBorders>
            <w:shd w:fill="auto" w:val="clear"/>
            <w:tcMar>
              <w:left w:w="105" w:type="dxa"/>
            </w:tcMar>
          </w:tcPr>
          <w:p>
            <w:pPr>
              <w:pStyle w:val="Index"/>
              <w:overflowPunct w:val="true"/>
              <w:spacing w:lineRule="atLeast" w:line="240" w:before="0" w:after="0"/>
              <w:jc w:val="center"/>
              <w:textAlignment w:val="baseline"/>
              <w:rPr>
                <w:rFonts w:cs="Arial" w:ascii="Arial Narrow" w:hAnsi="Arial Narrow"/>
                <w:sz w:val="20"/>
              </w:rPr>
            </w:pPr>
            <w:r>
              <w:rPr>
                <w:rFonts w:cs="Arial" w:ascii="Arial Narrow" w:hAnsi="Arial Narrow"/>
                <w:sz w:val="20"/>
              </w:rPr>
              <w:t>Kuupäev</w:t>
            </w:r>
          </w:p>
        </w:tc>
      </w:tr>
      <w:tr>
        <w:trPr>
          <w:cantSplit w:val="false"/>
        </w:trPr>
        <w:tc>
          <w:tcPr>
            <w:tcW w:w="844" w:type="dxa"/>
            <w:tcBorders>
              <w:top w:val="single" w:sz="12"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Index"/>
              <w:overflowPunct w:val="true"/>
              <w:spacing w:lineRule="atLeast" w:line="240" w:before="0" w:after="0"/>
              <w:textAlignment w:val="baseline"/>
              <w:rPr>
                <w:rFonts w:cs="Arial" w:ascii="Arial Narrow" w:hAnsi="Arial Narrow"/>
                <w:sz w:val="20"/>
              </w:rPr>
            </w:pPr>
            <w:r>
              <w:rPr>
                <w:rFonts w:cs="Arial" w:ascii="Arial Narrow" w:hAnsi="Arial Narrow"/>
                <w:sz w:val="20"/>
              </w:rPr>
            </w:r>
          </w:p>
        </w:tc>
        <w:tc>
          <w:tcPr>
            <w:tcW w:w="6576" w:type="dxa"/>
            <w:tcBorders>
              <w:top w:val="single" w:sz="12"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Index"/>
              <w:overflowPunct w:val="true"/>
              <w:spacing w:lineRule="atLeast" w:line="240" w:before="0" w:after="0"/>
              <w:textAlignment w:val="baseline"/>
              <w:rPr>
                <w:rFonts w:cs="Arial" w:ascii="Arial Narrow" w:hAnsi="Arial Narrow"/>
                <w:sz w:val="20"/>
              </w:rPr>
            </w:pPr>
            <w:r>
              <w:rPr>
                <w:rFonts w:cs="Arial" w:ascii="Arial Narrow" w:hAnsi="Arial Narrow"/>
                <w:sz w:val="20"/>
              </w:rPr>
            </w:r>
          </w:p>
        </w:tc>
        <w:tc>
          <w:tcPr>
            <w:tcW w:w="1561" w:type="dxa"/>
            <w:tcBorders>
              <w:top w:val="single" w:sz="12"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Index"/>
              <w:overflowPunct w:val="true"/>
              <w:spacing w:lineRule="atLeast" w:line="240" w:before="0" w:after="0"/>
              <w:textAlignment w:val="baseline"/>
              <w:rPr>
                <w:rFonts w:cs="Arial" w:ascii="Arial Narrow" w:hAnsi="Arial Narrow"/>
                <w:sz w:val="20"/>
              </w:rPr>
            </w:pPr>
            <w:r>
              <w:rPr>
                <w:rFonts w:cs="Arial" w:ascii="Arial Narrow" w:hAnsi="Arial Narrow"/>
                <w:sz w:val="20"/>
              </w:rPr>
            </w:r>
          </w:p>
        </w:tc>
        <w:tc>
          <w:tcPr>
            <w:tcW w:w="1275" w:type="dxa"/>
            <w:tcBorders>
              <w:top w:val="single" w:sz="12"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Index"/>
              <w:overflowPunct w:val="true"/>
              <w:spacing w:lineRule="atLeast" w:line="240" w:before="0" w:after="0"/>
              <w:textAlignment w:val="baseline"/>
              <w:rPr>
                <w:rFonts w:cs="Arial" w:ascii="Arial Narrow" w:hAnsi="Arial Narrow"/>
                <w:sz w:val="20"/>
              </w:rPr>
            </w:pPr>
            <w:r>
              <w:rPr>
                <w:rFonts w:cs="Arial" w:ascii="Arial Narrow" w:hAnsi="Arial Narrow"/>
                <w:sz w:val="20"/>
              </w:rPr>
            </w:r>
          </w:p>
        </w:tc>
      </w:tr>
      <w:tr>
        <w:trPr>
          <w:cantSplit w:val="false"/>
        </w:trPr>
        <w:tc>
          <w:tcPr>
            <w:tcW w:w="844"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108" w:type="dxa"/>
            </w:tcMar>
          </w:tcPr>
          <w:p>
            <w:pPr>
              <w:pStyle w:val="Index"/>
              <w:overflowPunct w:val="true"/>
              <w:spacing w:lineRule="atLeast" w:line="240" w:before="0" w:after="0"/>
              <w:textAlignment w:val="baseline"/>
              <w:rPr>
                <w:rFonts w:cs="Arial" w:ascii="Arial Narrow" w:hAnsi="Arial Narrow"/>
                <w:sz w:val="20"/>
              </w:rPr>
            </w:pPr>
            <w:r>
              <w:rPr>
                <w:rFonts w:cs="Arial" w:ascii="Arial Narrow" w:hAnsi="Arial Narrow"/>
                <w:sz w:val="20"/>
              </w:rPr>
            </w:r>
          </w:p>
        </w:tc>
        <w:tc>
          <w:tcPr>
            <w:tcW w:w="6576"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108" w:type="dxa"/>
            </w:tcMar>
          </w:tcPr>
          <w:p>
            <w:pPr>
              <w:pStyle w:val="Index"/>
              <w:overflowPunct w:val="true"/>
              <w:spacing w:lineRule="atLeast" w:line="240" w:before="0" w:after="0"/>
              <w:textAlignment w:val="baseline"/>
              <w:rPr>
                <w:rFonts w:cs="Arial" w:ascii="Arial Narrow" w:hAnsi="Arial Narrow"/>
                <w:sz w:val="20"/>
              </w:rPr>
            </w:pPr>
            <w:r>
              <w:rPr>
                <w:rFonts w:cs="Arial" w:ascii="Arial Narrow" w:hAnsi="Arial Narrow"/>
                <w:sz w:val="20"/>
              </w:rPr>
            </w:r>
          </w:p>
        </w:tc>
        <w:tc>
          <w:tcPr>
            <w:tcW w:w="1561"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108" w:type="dxa"/>
            </w:tcMar>
          </w:tcPr>
          <w:p>
            <w:pPr>
              <w:pStyle w:val="Index"/>
              <w:overflowPunct w:val="true"/>
              <w:spacing w:lineRule="atLeast" w:line="240" w:before="0" w:after="0"/>
              <w:textAlignment w:val="baseline"/>
              <w:rPr>
                <w:rFonts w:cs="Arial" w:ascii="Arial Narrow" w:hAnsi="Arial Narrow"/>
                <w:sz w:val="20"/>
              </w:rPr>
            </w:pPr>
            <w:r>
              <w:rPr>
                <w:rFonts w:cs="Arial" w:ascii="Arial Narrow" w:hAnsi="Arial Narrow"/>
                <w:sz w:val="20"/>
              </w:rPr>
            </w:r>
          </w:p>
        </w:tc>
        <w:tc>
          <w:tcPr>
            <w:tcW w:w="1275"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108" w:type="dxa"/>
            </w:tcMar>
          </w:tcPr>
          <w:p>
            <w:pPr>
              <w:pStyle w:val="Index"/>
              <w:overflowPunct w:val="true"/>
              <w:spacing w:lineRule="atLeast" w:line="240" w:before="0" w:after="0"/>
              <w:textAlignment w:val="baseline"/>
              <w:rPr>
                <w:rFonts w:cs="Arial" w:ascii="Arial Narrow" w:hAnsi="Arial Narrow"/>
                <w:sz w:val="20"/>
              </w:rPr>
            </w:pPr>
            <w:r>
              <w:rPr>
                <w:rFonts w:cs="Arial" w:ascii="Arial Narrow" w:hAnsi="Arial Narrow"/>
                <w:sz w:val="20"/>
              </w:rPr>
            </w:r>
          </w:p>
        </w:tc>
      </w:tr>
    </w:tbl>
    <w:p>
      <w:pPr>
        <w:pStyle w:val="Index"/>
        <w:spacing w:lineRule="atLeast" w:line="240" w:before="480" w:after="480"/>
        <w:jc w:val="center"/>
        <w:rPr>
          <w:rFonts w:cs="Times New Roman"/>
          <w:b/>
          <w:sz w:val="32"/>
          <w:szCs w:val="32"/>
        </w:rPr>
      </w:pPr>
      <w:r>
        <w:rPr>
          <w:rFonts w:cs="Times New Roman"/>
          <w:b/>
          <w:sz w:val="32"/>
          <w:szCs w:val="32"/>
        </w:rPr>
        <w:t>ARHITEKTUUR</w:t>
      </w:r>
    </w:p>
    <w:p>
      <w:pPr>
        <w:pStyle w:val="ContentsHeading"/>
        <w:rPr>
          <w:rFonts w:ascii="Calibri" w:hAnsi="Calibri"/>
          <w:color w:val="00000A"/>
        </w:rPr>
      </w:pPr>
      <w:r>
        <w:rPr>
          <w:rFonts w:cs="Times New Roman" w:ascii="Calibri" w:hAnsi="Calibri"/>
          <w:color w:val="00000A"/>
        </w:rPr>
        <w:t>SISUKORD:</w:t>
      </w:r>
      <w:r>
        <w:rPr>
          <w:rFonts w:ascii="Calibri" w:hAnsi="Calibri"/>
          <w:color w:val="00000A"/>
        </w:rPr>
        <w:t xml:space="preserve"> </w:t>
      </w:r>
    </w:p>
    <w:p>
      <w:pPr>
        <w:pStyle w:val="Normal"/>
        <w:rPr>
          <w:lang w:val="en-US"/>
        </w:rPr>
      </w:pPr>
      <w:r>
        <w:rPr>
          <w:lang w:val="en-US"/>
        </w:rPr>
      </w:r>
    </w:p>
    <w:p>
      <w:pPr>
        <w:pStyle w:val="Contents1"/>
        <w:tabs>
          <w:tab w:val="right" w:pos="9071" w:leader="dot"/>
        </w:tabs>
        <w:rPr>
          <w:rStyle w:val="IndexLink"/>
        </w:rPr>
      </w:pPr>
      <w:r>
        <w:fldChar w:fldCharType="begin"/>
      </w:r>
      <w:r>
        <w:instrText> TOC </w:instrText>
      </w:r>
      <w:r>
        <w:fldChar w:fldCharType="separate"/>
      </w:r>
      <w:hyperlink w:anchor="__RefHeading__1172_890730114">
        <w:r>
          <w:rPr>
            <w:rStyle w:val="IndexLink"/>
          </w:rPr>
          <w:t>1.ÜLDANDMED</w:t>
          <w:tab/>
          <w:t>2</w:t>
        </w:r>
      </w:hyperlink>
    </w:p>
    <w:p>
      <w:pPr>
        <w:pStyle w:val="Contents2"/>
        <w:tabs>
          <w:tab w:val="right" w:pos="9071" w:leader="dot"/>
        </w:tabs>
        <w:rPr>
          <w:rStyle w:val="IndexLink"/>
        </w:rPr>
      </w:pPr>
      <w:hyperlink w:anchor="__RefHeading__1174_890730114">
        <w:r>
          <w:rPr>
            <w:rStyle w:val="IndexLink"/>
          </w:rPr>
          <w:t>1.1.Projekteerimistöö piiritlus</w:t>
          <w:tab/>
          <w:t>2</w:t>
        </w:r>
      </w:hyperlink>
    </w:p>
    <w:p>
      <w:pPr>
        <w:pStyle w:val="Contents2"/>
        <w:tabs>
          <w:tab w:val="right" w:pos="9071" w:leader="dot"/>
        </w:tabs>
        <w:rPr>
          <w:rStyle w:val="IndexLink"/>
        </w:rPr>
      </w:pPr>
      <w:hyperlink w:anchor="__RefHeading__1176_890730114">
        <w:r>
          <w:rPr>
            <w:rStyle w:val="IndexLink"/>
          </w:rPr>
          <w:t>1.2.Alusdokumendid</w:t>
          <w:tab/>
          <w:t>2</w:t>
        </w:r>
      </w:hyperlink>
    </w:p>
    <w:p>
      <w:pPr>
        <w:pStyle w:val="Contents3"/>
        <w:tabs>
          <w:tab w:val="right" w:pos="9071" w:leader="dot"/>
        </w:tabs>
        <w:rPr>
          <w:rStyle w:val="IndexLink"/>
        </w:rPr>
      </w:pPr>
      <w:hyperlink w:anchor="__RefHeading__1178_890730114">
        <w:r>
          <w:rPr>
            <w:rStyle w:val="IndexLink"/>
          </w:rPr>
          <w:t>1.2.1.Lähteandmed</w:t>
          <w:tab/>
          <w:t>2</w:t>
        </w:r>
      </w:hyperlink>
    </w:p>
    <w:p>
      <w:pPr>
        <w:pStyle w:val="Contents3"/>
        <w:tabs>
          <w:tab w:val="right" w:pos="9071" w:leader="dot"/>
        </w:tabs>
        <w:rPr>
          <w:rStyle w:val="IndexLink"/>
        </w:rPr>
      </w:pPr>
      <w:hyperlink w:anchor="__RefHeading__1180_890730114">
        <w:r>
          <w:rPr>
            <w:rStyle w:val="IndexLink"/>
          </w:rPr>
          <w:t>1.2.2.Uuringud, mõõtmised ja prognoosid</w:t>
          <w:tab/>
          <w:t>2</w:t>
        </w:r>
      </w:hyperlink>
    </w:p>
    <w:p>
      <w:pPr>
        <w:pStyle w:val="Contents2"/>
        <w:tabs>
          <w:tab w:val="right" w:pos="9071" w:leader="dot"/>
        </w:tabs>
        <w:rPr>
          <w:rStyle w:val="IndexLink"/>
        </w:rPr>
      </w:pPr>
      <w:hyperlink w:anchor="__RefHeading__1182_890730114">
        <w:r>
          <w:rPr>
            <w:rStyle w:val="IndexLink"/>
          </w:rPr>
          <w:t>1.3.Normdokumendid</w:t>
          <w:tab/>
          <w:t>2</w:t>
        </w:r>
      </w:hyperlink>
    </w:p>
    <w:p>
      <w:pPr>
        <w:pStyle w:val="Contents1"/>
        <w:tabs>
          <w:tab w:val="right" w:pos="9071" w:leader="dot"/>
        </w:tabs>
        <w:rPr>
          <w:rStyle w:val="IndexLink"/>
        </w:rPr>
      </w:pPr>
      <w:hyperlink w:anchor="__RefHeading__1184_890730114">
        <w:r>
          <w:rPr>
            <w:rStyle w:val="IndexLink"/>
          </w:rPr>
          <w:t>2.OLEMASOLEV</w:t>
          <w:tab/>
          <w:t>3</w:t>
        </w:r>
      </w:hyperlink>
    </w:p>
    <w:p>
      <w:pPr>
        <w:pStyle w:val="Contents1"/>
        <w:tabs>
          <w:tab w:val="right" w:pos="9071" w:leader="dot"/>
        </w:tabs>
        <w:rPr>
          <w:rStyle w:val="IndexLink"/>
        </w:rPr>
      </w:pPr>
      <w:hyperlink w:anchor="__RefHeading__1186_890730114">
        <w:r>
          <w:rPr>
            <w:rStyle w:val="IndexLink"/>
          </w:rPr>
          <w:t>3.HOONE TEHNILISED ANDMED</w:t>
          <w:tab/>
          <w:t>3</w:t>
        </w:r>
      </w:hyperlink>
    </w:p>
    <w:p>
      <w:pPr>
        <w:pStyle w:val="Contents1"/>
        <w:tabs>
          <w:tab w:val="right" w:pos="9071" w:leader="dot"/>
        </w:tabs>
        <w:rPr>
          <w:rStyle w:val="IndexLink"/>
        </w:rPr>
      </w:pPr>
      <w:hyperlink w:anchor="__RefHeading__1188_890730114">
        <w:r>
          <w:rPr>
            <w:rStyle w:val="IndexLink"/>
          </w:rPr>
          <w:t>4.TUGEVVOOLUPAIGALDIS</w:t>
          <w:tab/>
          <w:t>4</w:t>
        </w:r>
      </w:hyperlink>
    </w:p>
    <w:p>
      <w:pPr>
        <w:pStyle w:val="Contents2"/>
        <w:tabs>
          <w:tab w:val="right" w:pos="9071" w:leader="dot"/>
        </w:tabs>
        <w:rPr>
          <w:rStyle w:val="IndexLink"/>
        </w:rPr>
      </w:pPr>
      <w:hyperlink w:anchor="__RefHeading__1190_890730114">
        <w:r>
          <w:rPr>
            <w:rStyle w:val="IndexLink"/>
          </w:rPr>
          <w:t>4.1.Elektrivarustus</w:t>
          <w:tab/>
          <w:t>4</w:t>
        </w:r>
      </w:hyperlink>
    </w:p>
    <w:p>
      <w:pPr>
        <w:pStyle w:val="Contents2"/>
        <w:tabs>
          <w:tab w:val="right" w:pos="9071" w:leader="dot"/>
        </w:tabs>
        <w:rPr>
          <w:rStyle w:val="IndexLink"/>
        </w:rPr>
      </w:pPr>
      <w:hyperlink w:anchor="__RefHeading__1192_890730114">
        <w:r>
          <w:rPr>
            <w:rStyle w:val="IndexLink"/>
          </w:rPr>
          <w:t>4.2.Jõuseadmete elektrivarustus</w:t>
          <w:tab/>
          <w:t>4</w:t>
        </w:r>
      </w:hyperlink>
    </w:p>
    <w:p>
      <w:pPr>
        <w:pStyle w:val="Contents2"/>
        <w:tabs>
          <w:tab w:val="right" w:pos="9071" w:leader="dot"/>
        </w:tabs>
        <w:rPr>
          <w:rStyle w:val="IndexLink"/>
        </w:rPr>
      </w:pPr>
      <w:hyperlink w:anchor="__RefHeading__1194_890730114">
        <w:r>
          <w:rPr>
            <w:rStyle w:val="IndexLink"/>
          </w:rPr>
          <w:t>4.3.Pistikupesad</w:t>
          <w:tab/>
          <w:t>4</w:t>
        </w:r>
      </w:hyperlink>
    </w:p>
    <w:p>
      <w:pPr>
        <w:pStyle w:val="Contents3"/>
        <w:tabs>
          <w:tab w:val="right" w:pos="9071" w:leader="dot"/>
        </w:tabs>
        <w:rPr>
          <w:rStyle w:val="IndexLink"/>
        </w:rPr>
      </w:pPr>
      <w:hyperlink w:anchor="__RefHeading__1196_890730114">
        <w:r>
          <w:rPr>
            <w:rStyle w:val="IndexLink"/>
          </w:rPr>
          <w:t>4.3.1.Valgustus</w:t>
          <w:tab/>
          <w:t>4</w:t>
        </w:r>
      </w:hyperlink>
    </w:p>
    <w:p>
      <w:pPr>
        <w:pStyle w:val="Contents3"/>
        <w:tabs>
          <w:tab w:val="right" w:pos="9071" w:leader="dot"/>
        </w:tabs>
        <w:rPr>
          <w:rStyle w:val="IndexLink"/>
        </w:rPr>
      </w:pPr>
      <w:hyperlink w:anchor="__RefHeading__1198_890730114">
        <w:r>
          <w:rPr>
            <w:rStyle w:val="IndexLink"/>
          </w:rPr>
          <w:t>4.3.2.Küttesüsteemid ja –seadmed</w:t>
          <w:tab/>
          <w:t>4</w:t>
        </w:r>
      </w:hyperlink>
    </w:p>
    <w:p>
      <w:pPr>
        <w:pStyle w:val="Contents3"/>
        <w:tabs>
          <w:tab w:val="right" w:pos="9071" w:leader="dot"/>
        </w:tabs>
        <w:rPr>
          <w:rStyle w:val="IndexLink"/>
        </w:rPr>
      </w:pPr>
      <w:hyperlink w:anchor="__RefHeading__1200_890730114">
        <w:r>
          <w:rPr>
            <w:rStyle w:val="IndexLink"/>
          </w:rPr>
          <w:t>4.3.3.Elektrilöögivastane kaitse ja maanduspaigaldis</w:t>
          <w:tab/>
          <w:t>4</w:t>
        </w:r>
      </w:hyperlink>
    </w:p>
    <w:p>
      <w:pPr>
        <w:pStyle w:val="Contents2"/>
        <w:tabs>
          <w:tab w:val="right" w:pos="9071" w:leader="dot"/>
        </w:tabs>
        <w:rPr>
          <w:rStyle w:val="IndexLink"/>
        </w:rPr>
      </w:pPr>
      <w:hyperlink w:anchor="__RefHeading__1202_890730114">
        <w:r>
          <w:rPr>
            <w:rStyle w:val="IndexLink"/>
          </w:rPr>
          <w:t>4.4.ELEKTRITÖÖDE TEOSTAMINE</w:t>
          <w:tab/>
          <w:t>4</w:t>
        </w:r>
      </w:hyperlink>
    </w:p>
    <w:p>
      <w:pPr>
        <w:pStyle w:val="Contents3"/>
        <w:tabs>
          <w:tab w:val="right" w:pos="9071" w:leader="dot"/>
        </w:tabs>
        <w:rPr>
          <w:rStyle w:val="IndexLink"/>
        </w:rPr>
      </w:pPr>
      <w:hyperlink w:anchor="__RefHeading__1204_890730114">
        <w:r>
          <w:rPr>
            <w:rStyle w:val="IndexLink"/>
          </w:rPr>
          <w:t>4.4.1.Üldist</w:t>
          <w:tab/>
          <w:t>4</w:t>
        </w:r>
      </w:hyperlink>
    </w:p>
    <w:p>
      <w:pPr>
        <w:pStyle w:val="Contents3"/>
        <w:tabs>
          <w:tab w:val="right" w:pos="9071" w:leader="dot"/>
        </w:tabs>
        <w:rPr>
          <w:rStyle w:val="IndexLink"/>
        </w:rPr>
      </w:pPr>
      <w:hyperlink w:anchor="__RefHeading__1206_890730114">
        <w:r>
          <w:rPr>
            <w:rStyle w:val="IndexLink"/>
          </w:rPr>
          <w:t>4.4.2.Töövõtu ulatus</w:t>
          <w:tab/>
          <w:t>5</w:t>
        </w:r>
      </w:hyperlink>
    </w:p>
    <w:p>
      <w:pPr>
        <w:pStyle w:val="Contents3"/>
        <w:tabs>
          <w:tab w:val="right" w:pos="9071" w:leader="dot"/>
        </w:tabs>
        <w:rPr>
          <w:rStyle w:val="IndexLink"/>
        </w:rPr>
      </w:pPr>
      <w:hyperlink w:anchor="__RefHeading__1208_890730114">
        <w:r>
          <w:rPr>
            <w:rStyle w:val="IndexLink"/>
          </w:rPr>
          <w:t>4.4.3.Seadmete ja materjalide valik ja paigaldus</w:t>
          <w:tab/>
          <w:t>5</w:t>
        </w:r>
      </w:hyperlink>
    </w:p>
    <w:p>
      <w:pPr>
        <w:pStyle w:val="Contents3"/>
        <w:tabs>
          <w:tab w:val="right" w:pos="9071" w:leader="dot"/>
        </w:tabs>
        <w:rPr>
          <w:rStyle w:val="IndexLink"/>
        </w:rPr>
      </w:pPr>
      <w:hyperlink w:anchor="__RefHeading__1210_890730114">
        <w:r>
          <w:rPr>
            <w:rStyle w:val="IndexLink"/>
          </w:rPr>
          <w:t>4.4.4.Nimeliste toodete asendamine analoogidega</w:t>
          <w:tab/>
          <w:t>5</w:t>
        </w:r>
      </w:hyperlink>
    </w:p>
    <w:p>
      <w:pPr>
        <w:pStyle w:val="Contents3"/>
        <w:tabs>
          <w:tab w:val="right" w:pos="9071" w:leader="dot"/>
        </w:tabs>
        <w:rPr>
          <w:rStyle w:val="IndexLink"/>
        </w:rPr>
      </w:pPr>
      <w:hyperlink w:anchor="__RefHeading__1212_890730114">
        <w:r>
          <w:rPr>
            <w:rStyle w:val="IndexLink"/>
          </w:rPr>
          <w:t>4.4.5.Ehituseaegsed paigaldusjoonised</w:t>
          <w:tab/>
          <w:t>5</w:t>
        </w:r>
      </w:hyperlink>
    </w:p>
    <w:p>
      <w:pPr>
        <w:pStyle w:val="Contents3"/>
        <w:tabs>
          <w:tab w:val="right" w:pos="9071" w:leader="dot"/>
        </w:tabs>
        <w:rPr>
          <w:rStyle w:val="IndexLink"/>
        </w:rPr>
      </w:pPr>
      <w:hyperlink w:anchor="__RefHeading__1214_890730114">
        <w:r>
          <w:rPr>
            <w:rStyle w:val="IndexLink"/>
          </w:rPr>
          <w:t>4.4.6.Seadmete tunnussildid ja –markeering</w:t>
          <w:tab/>
          <w:t>5</w:t>
        </w:r>
      </w:hyperlink>
    </w:p>
    <w:p>
      <w:pPr>
        <w:pStyle w:val="Contents1"/>
        <w:tabs>
          <w:tab w:val="right" w:pos="9071" w:leader="dot"/>
        </w:tabs>
        <w:rPr>
          <w:rStyle w:val="IndexLink"/>
        </w:rPr>
      </w:pPr>
      <w:hyperlink w:anchor="__RefHeading__1216_890730114">
        <w:r>
          <w:rPr>
            <w:rStyle w:val="IndexLink"/>
          </w:rPr>
          <w:t>5.Nõrkvoolupaigaldis</w:t>
          <w:tab/>
          <w:t>6</w:t>
        </w:r>
      </w:hyperlink>
    </w:p>
    <w:p>
      <w:pPr>
        <w:pStyle w:val="Contents2"/>
        <w:tabs>
          <w:tab w:val="right" w:pos="9071" w:leader="dot"/>
        </w:tabs>
        <w:rPr>
          <w:rStyle w:val="IndexLink"/>
        </w:rPr>
      </w:pPr>
      <w:hyperlink w:anchor="__RefHeading__1218_890730114">
        <w:r>
          <w:rPr>
            <w:rStyle w:val="IndexLink"/>
          </w:rPr>
          <w:t>5.1.Olemasolev</w:t>
          <w:tab/>
          <w:t>6</w:t>
        </w:r>
      </w:hyperlink>
    </w:p>
    <w:p>
      <w:pPr>
        <w:pStyle w:val="Contents2"/>
        <w:tabs>
          <w:tab w:val="right" w:pos="9071" w:leader="dot"/>
        </w:tabs>
        <w:rPr>
          <w:rStyle w:val="IndexLink"/>
        </w:rPr>
      </w:pPr>
      <w:hyperlink w:anchor="__RefHeading__1220_890730114">
        <w:r>
          <w:rPr>
            <w:rStyle w:val="IndexLink"/>
          </w:rPr>
          <w:t>5.2.Üldiseloomustus</w:t>
          <w:tab/>
          <w:t>6</w:t>
        </w:r>
      </w:hyperlink>
    </w:p>
    <w:p>
      <w:pPr>
        <w:pStyle w:val="Contents2"/>
        <w:tabs>
          <w:tab w:val="right" w:pos="9071" w:leader="dot"/>
        </w:tabs>
        <w:rPr>
          <w:rStyle w:val="IndexLink"/>
        </w:rPr>
      </w:pPr>
      <w:hyperlink w:anchor="__RefHeading__1222_890730114">
        <w:r>
          <w:rPr>
            <w:rStyle w:val="IndexLink"/>
          </w:rPr>
          <w:t>5.3.Sidevarustuse tüüp ja läbilaskevõime</w:t>
          <w:tab/>
          <w:t>6</w:t>
        </w:r>
      </w:hyperlink>
    </w:p>
    <w:p>
      <w:pPr>
        <w:pStyle w:val="Contents2"/>
        <w:tabs>
          <w:tab w:val="right" w:pos="9071" w:leader="dot"/>
        </w:tabs>
        <w:rPr>
          <w:rStyle w:val="IndexLink"/>
        </w:rPr>
      </w:pPr>
      <w:hyperlink w:anchor="__RefHeading__1224_890730114">
        <w:r>
          <w:rPr>
            <w:rStyle w:val="IndexLink"/>
          </w:rPr>
          <w:t>5.4.Sidevarustuse seos andmeside, telefoniside ja TV-süsteemidega</w:t>
          <w:tab/>
          <w:t>6</w:t>
        </w:r>
      </w:hyperlink>
    </w:p>
    <w:p>
      <w:pPr>
        <w:pStyle w:val="Contents2"/>
        <w:tabs>
          <w:tab w:val="right" w:pos="9071" w:leader="dot"/>
        </w:tabs>
        <w:rPr>
          <w:rStyle w:val="IndexLink"/>
        </w:rPr>
      </w:pPr>
      <w:hyperlink w:anchor="__RefHeading__1226_890730114">
        <w:r>
          <w:rPr>
            <w:rStyle w:val="IndexLink"/>
          </w:rPr>
          <w:t>5.5.Kaabliteed</w:t>
          <w:tab/>
          <w:t>6</w:t>
        </w:r>
      </w:hyperlink>
    </w:p>
    <w:p>
      <w:pPr>
        <w:pStyle w:val="Contents2"/>
        <w:tabs>
          <w:tab w:val="right" w:pos="9071" w:leader="dot"/>
        </w:tabs>
        <w:rPr>
          <w:rStyle w:val="IndexLink"/>
        </w:rPr>
      </w:pPr>
      <w:hyperlink w:anchor="__RefHeading__1228_890730114">
        <w:r>
          <w:rPr>
            <w:rStyle w:val="IndexLink"/>
          </w:rPr>
          <w:t>5.6.Andmeside- ja telefonivõrk</w:t>
          <w:tab/>
          <w:t>6</w:t>
        </w:r>
      </w:hyperlink>
    </w:p>
    <w:p>
      <w:pPr>
        <w:pStyle w:val="Contents2"/>
        <w:tabs>
          <w:tab w:val="right" w:pos="9071" w:leader="dot"/>
        </w:tabs>
        <w:rPr>
          <w:rStyle w:val="IndexLink"/>
        </w:rPr>
      </w:pPr>
      <w:hyperlink w:anchor="__RefHeading__1230_890730114">
        <w:r>
          <w:rPr>
            <w:rStyle w:val="IndexLink"/>
          </w:rPr>
          <w:t>5.7.TV-võrk</w:t>
          <w:tab/>
          <w:t>6</w:t>
        </w:r>
      </w:hyperlink>
    </w:p>
    <w:p>
      <w:pPr>
        <w:pStyle w:val="Contents2"/>
        <w:tabs>
          <w:tab w:val="right" w:pos="9071" w:leader="dot"/>
        </w:tabs>
        <w:rPr>
          <w:rStyle w:val="IndexLink"/>
        </w:rPr>
      </w:pPr>
      <w:hyperlink w:anchor="__RefHeading__1232_890730114">
        <w:r>
          <w:rPr>
            <w:rStyle w:val="IndexLink"/>
          </w:rPr>
          <w:t>5.8.Valvesignalisatsioon</w:t>
          <w:tab/>
          <w:t>7</w:t>
        </w:r>
      </w:hyperlink>
    </w:p>
    <w:p>
      <w:pPr>
        <w:pStyle w:val="Contents2"/>
        <w:tabs>
          <w:tab w:val="right" w:pos="9071" w:leader="dot"/>
        </w:tabs>
        <w:rPr>
          <w:rStyle w:val="IndexLink"/>
        </w:rPr>
      </w:pPr>
      <w:hyperlink w:anchor="__RefHeading__1234_890730114">
        <w:r>
          <w:rPr>
            <w:rStyle w:val="IndexLink"/>
          </w:rPr>
          <w:t>5.9.Videovalve</w:t>
          <w:tab/>
          <w:t>7</w:t>
        </w:r>
      </w:hyperlink>
    </w:p>
    <w:p>
      <w:pPr>
        <w:pStyle w:val="Contents2"/>
        <w:tabs>
          <w:tab w:val="right" w:pos="9071" w:leader="dot"/>
        </w:tabs>
        <w:rPr>
          <w:rStyle w:val="IndexLink"/>
        </w:rPr>
      </w:pPr>
      <w:hyperlink w:anchor="__RefHeading__1236_890730114">
        <w:r>
          <w:rPr>
            <w:rStyle w:val="IndexLink"/>
          </w:rPr>
          <w:t>5.10.Tulekahjusignalisatsioon</w:t>
          <w:tab/>
          <w:t>7</w:t>
        </w:r>
      </w:hyperlink>
    </w:p>
    <w:p>
      <w:pPr>
        <w:pStyle w:val="Contents2"/>
        <w:tabs>
          <w:tab w:val="right" w:pos="9071" w:leader="dot"/>
        </w:tabs>
        <w:rPr>
          <w:rStyle w:val="IndexLink"/>
        </w:rPr>
      </w:pPr>
      <w:hyperlink w:anchor="__RefHeading__1238_890730114">
        <w:r>
          <w:rPr>
            <w:rStyle w:val="IndexLink"/>
          </w:rPr>
          <w:t>5.11.Tulekaitse</w:t>
          <w:tab/>
          <w:t>7</w:t>
        </w:r>
      </w:hyperlink>
      <w:r>
        <w:fldChar w:fldCharType="end"/>
      </w:r>
    </w:p>
    <w:p>
      <w:pPr>
        <w:pStyle w:val="TextBody"/>
        <w:spacing w:before="120" w:after="120"/>
        <w:jc w:val="both"/>
        <w:rPr/>
      </w:pPr>
      <w:hyperlink w:anchor="_Toc455734161">
        <w:r>
          <w:rPr/>
        </w:r>
      </w:hyperlink>
    </w:p>
    <w:p>
      <w:pPr>
        <w:pStyle w:val="Normal"/>
        <w:rPr>
          <w:b/>
        </w:rPr>
      </w:pPr>
      <w:bookmarkStart w:id="0" w:name="_Toc368651666"/>
      <w:bookmarkStart w:id="1" w:name="_Toc364671317"/>
      <w:bookmarkStart w:id="2" w:name="_Toc356833098"/>
      <w:bookmarkStart w:id="3" w:name="_Toc368641780"/>
      <w:bookmarkStart w:id="4" w:name="_Toc361912457"/>
      <w:bookmarkStart w:id="5" w:name="_Toc368651666"/>
      <w:bookmarkStart w:id="6" w:name="_Toc364671317"/>
      <w:bookmarkStart w:id="7" w:name="_Toc356833098"/>
      <w:bookmarkStart w:id="8" w:name="_Toc368641780"/>
      <w:bookmarkStart w:id="9" w:name="_Toc361912457"/>
      <w:bookmarkEnd w:id="5"/>
      <w:bookmarkEnd w:id="6"/>
      <w:bookmarkEnd w:id="7"/>
      <w:bookmarkEnd w:id="8"/>
      <w:bookmarkEnd w:id="9"/>
      <w:r>
        <w:rPr>
          <w:b/>
        </w:rPr>
      </w:r>
    </w:p>
    <w:p>
      <w:pPr>
        <w:pStyle w:val="X"/>
        <w:pageBreakBefore/>
        <w:numPr>
          <w:ilvl w:val="0"/>
          <w:numId w:val="9"/>
        </w:numPr>
        <w:rPr>
          <w:bCs/>
        </w:rPr>
      </w:pPr>
      <w:bookmarkStart w:id="10" w:name="_Toc368651666"/>
      <w:bookmarkStart w:id="11" w:name="_Toc364671317"/>
      <w:bookmarkStart w:id="12" w:name="_Toc356833098"/>
      <w:bookmarkStart w:id="13" w:name="_Toc368641780"/>
      <w:bookmarkStart w:id="14" w:name="_Toc361912457"/>
      <w:bookmarkStart w:id="15" w:name="__RefHeading__1172_890730114"/>
      <w:bookmarkStart w:id="16" w:name="_Toc455734161"/>
      <w:bookmarkStart w:id="17" w:name="_Toc368651664"/>
      <w:bookmarkStart w:id="18" w:name="_Toc364671315"/>
      <w:bookmarkStart w:id="19" w:name="_Toc356833096"/>
      <w:bookmarkEnd w:id="10"/>
      <w:bookmarkEnd w:id="11"/>
      <w:bookmarkEnd w:id="12"/>
      <w:bookmarkEnd w:id="13"/>
      <w:bookmarkEnd w:id="14"/>
      <w:bookmarkEnd w:id="15"/>
      <w:bookmarkEnd w:id="16"/>
      <w:bookmarkEnd w:id="17"/>
      <w:bookmarkEnd w:id="18"/>
      <w:bookmarkEnd w:id="19"/>
      <w:r>
        <w:rPr>
          <w:bCs/>
        </w:rPr>
        <w:t>ÜLDANDMED</w:t>
      </w:r>
    </w:p>
    <w:p>
      <w:pPr>
        <w:pStyle w:val="XXu"/>
        <w:numPr>
          <w:ilvl w:val="1"/>
          <w:numId w:val="9"/>
        </w:numPr>
        <w:tabs>
          <w:tab w:val="left" w:pos="851" w:leader="none"/>
        </w:tabs>
        <w:ind w:left="851" w:right="0" w:hanging="851"/>
        <w:rPr/>
      </w:pPr>
      <w:bookmarkStart w:id="20" w:name="__RefHeading__1174_890730114"/>
      <w:bookmarkStart w:id="21" w:name="_Toc455734162"/>
      <w:bookmarkStart w:id="22" w:name="_Toc368651665"/>
      <w:bookmarkStart w:id="23" w:name="_Toc364671316"/>
      <w:bookmarkStart w:id="24" w:name="_Toc356833097"/>
      <w:bookmarkEnd w:id="20"/>
      <w:bookmarkEnd w:id="21"/>
      <w:bookmarkEnd w:id="22"/>
      <w:bookmarkEnd w:id="23"/>
      <w:bookmarkEnd w:id="24"/>
      <w:r>
        <w:rPr/>
        <w:t>Projekteerimistöö piiritlus</w:t>
      </w:r>
    </w:p>
    <w:p>
      <w:pPr>
        <w:pStyle w:val="Normal"/>
        <w:jc w:val="both"/>
        <w:rPr/>
      </w:pPr>
      <w:bookmarkStart w:id="25" w:name="_Toc355786645"/>
      <w:bookmarkStart w:id="26" w:name="_Toc355784789"/>
      <w:bookmarkEnd w:id="25"/>
      <w:bookmarkEnd w:id="26"/>
      <w:r>
        <w:rPr/>
        <w:t>Käesoleva projektiga antakse Tartus,  paikneva üksikelamu elektripaigaldise lahendus põhiprojekti mahus vastavalt tellija soovidele, kehtivatele seadustele, asjakohastele normdokumentidele ja  teiste eriosade lähteülesannetele. Kinnistul paikneb ka kuur/abihoone, mis on samuti projektis kajastatud korrastatava ja renoveeritavana.</w:t>
      </w:r>
    </w:p>
    <w:p>
      <w:pPr>
        <w:pStyle w:val="Normal"/>
        <w:rPr>
          <w:lang w:eastAsia="et-EE"/>
        </w:rPr>
      </w:pPr>
      <w:r>
        <w:rPr>
          <w:lang w:eastAsia="et-EE"/>
        </w:rPr>
        <w:t>Projektis lahendatakse:</w:t>
      </w:r>
    </w:p>
    <w:p>
      <w:pPr>
        <w:pStyle w:val="ListParagraph"/>
        <w:numPr>
          <w:ilvl w:val="0"/>
          <w:numId w:val="6"/>
        </w:numPr>
        <w:spacing w:lineRule="auto" w:line="240" w:before="0" w:after="0"/>
        <w:ind w:left="714" w:right="0" w:hanging="360"/>
        <w:rPr/>
      </w:pPr>
      <w:r>
        <w:rPr/>
        <w:t>tugevvoolupaigaldis (valgustus, pistikupesad, elektriseadmed)</w:t>
      </w:r>
    </w:p>
    <w:p>
      <w:pPr>
        <w:pStyle w:val="ListParagraph"/>
        <w:numPr>
          <w:ilvl w:val="0"/>
          <w:numId w:val="6"/>
        </w:numPr>
        <w:spacing w:lineRule="auto" w:line="240" w:before="0" w:after="0"/>
        <w:ind w:left="714" w:right="0" w:hanging="360"/>
        <w:rPr>
          <w:szCs w:val="24"/>
        </w:rPr>
      </w:pPr>
      <w:r>
        <w:rPr>
          <w:szCs w:val="24"/>
        </w:rPr>
        <w:t>KVJ-süsteemide elektrivarustus.</w:t>
      </w:r>
    </w:p>
    <w:p>
      <w:pPr>
        <w:pStyle w:val="ListParagraph"/>
        <w:numPr>
          <w:ilvl w:val="0"/>
          <w:numId w:val="6"/>
        </w:numPr>
        <w:spacing w:lineRule="auto" w:line="240" w:before="0" w:after="0"/>
        <w:ind w:left="714" w:right="0" w:hanging="360"/>
        <w:rPr/>
      </w:pPr>
      <w:r>
        <w:rPr/>
        <w:t>andmesidevõrk s.h Cat6 võrgul põhinev TV-võrk;</w:t>
      </w:r>
    </w:p>
    <w:p>
      <w:pPr>
        <w:pStyle w:val="ListParagraph"/>
        <w:numPr>
          <w:ilvl w:val="0"/>
          <w:numId w:val="6"/>
        </w:numPr>
        <w:spacing w:lineRule="auto" w:line="240" w:before="0" w:after="0"/>
        <w:ind w:left="714" w:right="0" w:hanging="360"/>
        <w:rPr/>
      </w:pPr>
      <w:r>
        <w:rPr/>
        <w:t>vargavalve signalisatsioon;</w:t>
      </w:r>
    </w:p>
    <w:p>
      <w:pPr>
        <w:pStyle w:val="ListParagraph"/>
        <w:numPr>
          <w:ilvl w:val="0"/>
          <w:numId w:val="6"/>
        </w:numPr>
        <w:spacing w:lineRule="auto" w:line="240" w:before="0" w:after="0"/>
        <w:ind w:left="714" w:right="0" w:hanging="360"/>
        <w:rPr/>
      </w:pPr>
      <w:r>
        <w:rPr/>
        <w:t>tulevalve signalisatsioon.</w:t>
      </w:r>
    </w:p>
    <w:p>
      <w:pPr>
        <w:pStyle w:val="XXu"/>
        <w:numPr>
          <w:ilvl w:val="1"/>
          <w:numId w:val="9"/>
        </w:numPr>
        <w:tabs>
          <w:tab w:val="left" w:pos="851" w:leader="none"/>
        </w:tabs>
        <w:ind w:left="851" w:right="0" w:hanging="851"/>
        <w:rPr/>
      </w:pPr>
      <w:bookmarkStart w:id="27" w:name="__RefHeading__1176_890730114"/>
      <w:bookmarkStart w:id="28" w:name="_Toc455734163"/>
      <w:bookmarkEnd w:id="27"/>
      <w:bookmarkEnd w:id="28"/>
      <w:r>
        <w:rPr/>
        <w:t>Alusdokumendid</w:t>
      </w:r>
    </w:p>
    <w:p>
      <w:pPr>
        <w:pStyle w:val="XXX"/>
        <w:numPr>
          <w:ilvl w:val="2"/>
          <w:numId w:val="9"/>
        </w:numPr>
        <w:tabs>
          <w:tab w:val="left" w:pos="851" w:leader="none"/>
        </w:tabs>
        <w:ind w:left="851" w:right="0" w:hanging="851"/>
        <w:rPr/>
      </w:pPr>
      <w:bookmarkStart w:id="29" w:name="__RefHeading__1178_890730114"/>
      <w:bookmarkStart w:id="30" w:name="_Toc455734164"/>
      <w:bookmarkStart w:id="31" w:name="_Toc368651667"/>
      <w:bookmarkStart w:id="32" w:name="_Toc364671318"/>
      <w:bookmarkStart w:id="33" w:name="_Toc356833099"/>
      <w:bookmarkEnd w:id="29"/>
      <w:bookmarkEnd w:id="30"/>
      <w:bookmarkEnd w:id="31"/>
      <w:bookmarkEnd w:id="32"/>
      <w:bookmarkEnd w:id="33"/>
      <w:r>
        <w:rPr/>
        <w:t>Lähteandmed</w:t>
      </w:r>
    </w:p>
    <w:p>
      <w:pPr>
        <w:pStyle w:val="Normal"/>
        <w:shd w:fill="FFFFFF" w:val="clear"/>
        <w:rPr/>
      </w:pPr>
      <w:bookmarkStart w:id="34" w:name="_Toc368651668"/>
      <w:bookmarkStart w:id="35" w:name="_Toc364671319"/>
      <w:bookmarkStart w:id="36" w:name="_Toc356833100"/>
      <w:r>
        <w:rPr/>
        <w:t>Lähteandmeteks on:</w:t>
      </w:r>
    </w:p>
    <w:p>
      <w:pPr>
        <w:pStyle w:val="ListParagraph"/>
        <w:numPr>
          <w:ilvl w:val="0"/>
          <w:numId w:val="6"/>
        </w:numPr>
        <w:spacing w:lineRule="auto" w:line="240" w:before="0" w:after="0"/>
        <w:ind w:left="714" w:right="0" w:hanging="360"/>
        <w:rPr/>
      </w:pPr>
      <w:r>
        <w:rPr/>
        <w:t xml:space="preserve"> </w:t>
      </w:r>
      <w:r>
        <w:rPr/>
        <w:t xml:space="preserve">poolt koostatud poolt koostatud arhitektuursed alusplaanid, lõiked ja fassaadivaated; </w:t>
      </w:r>
    </w:p>
    <w:p>
      <w:pPr>
        <w:pStyle w:val="ListParagraph"/>
        <w:numPr>
          <w:ilvl w:val="0"/>
          <w:numId w:val="6"/>
        </w:numPr>
        <w:spacing w:lineRule="auto" w:line="240" w:before="0" w:after="0"/>
        <w:ind w:left="714" w:right="0" w:hanging="360"/>
        <w:rPr/>
      </w:pPr>
      <w:r>
        <w:rPr/>
        <w:t>tellija soovid ja ettepanekud;</w:t>
      </w:r>
    </w:p>
    <w:p>
      <w:pPr>
        <w:pStyle w:val="ListParagraph"/>
        <w:numPr>
          <w:ilvl w:val="0"/>
          <w:numId w:val="6"/>
        </w:numPr>
        <w:spacing w:lineRule="auto" w:line="240" w:before="0" w:after="0"/>
        <w:ind w:left="714" w:right="0" w:hanging="360"/>
        <w:rPr/>
      </w:pPr>
      <w:r>
        <w:rPr/>
        <w:t>ruumide kasutuse otstarve.</w:t>
      </w:r>
    </w:p>
    <w:p>
      <w:pPr>
        <w:pStyle w:val="XXX"/>
        <w:numPr>
          <w:ilvl w:val="2"/>
          <w:numId w:val="9"/>
        </w:numPr>
        <w:tabs>
          <w:tab w:val="left" w:pos="851" w:leader="none"/>
        </w:tabs>
        <w:ind w:left="851" w:right="0" w:hanging="851"/>
        <w:rPr/>
      </w:pPr>
      <w:bookmarkStart w:id="37" w:name="_Toc368651668"/>
      <w:bookmarkStart w:id="38" w:name="_Toc364671319"/>
      <w:bookmarkStart w:id="39" w:name="_Toc356833100"/>
      <w:bookmarkStart w:id="40" w:name="__RefHeading__1180_890730114"/>
      <w:bookmarkStart w:id="41" w:name="_Toc455734165"/>
      <w:bookmarkEnd w:id="40"/>
      <w:bookmarkEnd w:id="37"/>
      <w:bookmarkEnd w:id="38"/>
      <w:bookmarkEnd w:id="39"/>
      <w:bookmarkEnd w:id="41"/>
      <w:r>
        <w:rPr/>
        <w:t>Uuringud, mõõtmised ja prognoosid</w:t>
      </w:r>
    </w:p>
    <w:p>
      <w:pPr>
        <w:pStyle w:val="TextBody"/>
        <w:spacing w:before="120" w:after="120"/>
        <w:jc w:val="both"/>
        <w:rPr>
          <w:szCs w:val="24"/>
        </w:rPr>
      </w:pPr>
      <w:r>
        <w:rPr/>
        <w:t>Elektri</w:t>
      </w:r>
      <w:r>
        <w:rPr>
          <w:szCs w:val="24"/>
        </w:rPr>
        <w:t xml:space="preserve"> osas uuringuid ei tehtud.</w:t>
      </w:r>
    </w:p>
    <w:p>
      <w:pPr>
        <w:pStyle w:val="XXu"/>
        <w:numPr>
          <w:ilvl w:val="1"/>
          <w:numId w:val="9"/>
        </w:numPr>
        <w:tabs>
          <w:tab w:val="left" w:pos="851" w:leader="none"/>
        </w:tabs>
        <w:ind w:left="851" w:right="0" w:hanging="851"/>
        <w:rPr/>
      </w:pPr>
      <w:bookmarkStart w:id="42" w:name="__RefHeading__1182_890730114"/>
      <w:bookmarkStart w:id="43" w:name="_Toc455734166"/>
      <w:bookmarkStart w:id="44" w:name="_Toc368651669"/>
      <w:bookmarkStart w:id="45" w:name="_Toc364671320"/>
      <w:bookmarkStart w:id="46" w:name="_Toc356833101"/>
      <w:bookmarkEnd w:id="42"/>
      <w:bookmarkEnd w:id="43"/>
      <w:bookmarkEnd w:id="44"/>
      <w:bookmarkEnd w:id="45"/>
      <w:bookmarkEnd w:id="46"/>
      <w:r>
        <w:rPr/>
        <w:t>Normdokumendid</w:t>
      </w:r>
    </w:p>
    <w:p>
      <w:pPr>
        <w:pStyle w:val="TextBody"/>
        <w:spacing w:before="120" w:after="120"/>
        <w:jc w:val="both"/>
        <w:rPr/>
      </w:pPr>
      <w:bookmarkStart w:id="47" w:name="_Toc355786645"/>
      <w:bookmarkStart w:id="48" w:name="_Toc355784789"/>
      <w:bookmarkEnd w:id="47"/>
      <w:bookmarkEnd w:id="48"/>
      <w:r>
        <w:rPr/>
        <w:t>Elektripaigaldis on projekteeritud ja tuleb ehitada lähtudes Eesti Vabariigi õigusaktidest, Eesti Standardikeskuse poolt välja antud ehitusvaldkonna standarditest ja juhendmaterjalidest (EVS). Juhul, kui puudub mõnda eriosa käsitlev Eesti norm, standard, või määrus, tuleb lähtuda rahvusvahelistest (IEC, EN) või Soome (SFS) normidest ning standartidest.</w:t>
      </w:r>
    </w:p>
    <w:p>
      <w:pPr>
        <w:pStyle w:val="Normal"/>
        <w:spacing w:before="120" w:after="120"/>
        <w:jc w:val="both"/>
        <w:rPr/>
      </w:pPr>
      <w:r>
        <w:rPr/>
        <w:t>Projekteerimisel kasutatud olulisemate õigusaktide loetelu:</w:t>
      </w:r>
    </w:p>
    <w:p>
      <w:pPr>
        <w:pStyle w:val="TextBody"/>
        <w:numPr>
          <w:ilvl w:val="0"/>
          <w:numId w:val="3"/>
        </w:numPr>
        <w:spacing w:before="0" w:after="0"/>
        <w:ind w:left="714" w:right="0" w:hanging="360"/>
        <w:jc w:val="both"/>
        <w:rPr/>
      </w:pPr>
      <w:r>
        <w:rPr/>
        <w:t xml:space="preserve">“ </w:t>
      </w:r>
      <w:r>
        <w:rPr/>
        <w:t>Ehitusseadustik RT I 05.03.2015 ja sellega seonduvad õigusaktid;</w:t>
      </w:r>
    </w:p>
    <w:p>
      <w:pPr>
        <w:pStyle w:val="Normal"/>
        <w:numPr>
          <w:ilvl w:val="0"/>
          <w:numId w:val="3"/>
        </w:numPr>
        <w:ind w:left="714" w:right="0" w:hanging="360"/>
        <w:jc w:val="both"/>
        <w:rPr/>
      </w:pPr>
      <w:r>
        <w:rPr/>
        <w:t>Seadme ohutuse seadus RT I 23.03.2015;</w:t>
      </w:r>
    </w:p>
    <w:p>
      <w:pPr>
        <w:pStyle w:val="Normal"/>
        <w:numPr>
          <w:ilvl w:val="0"/>
          <w:numId w:val="3"/>
        </w:numPr>
        <w:suppressAutoHyphens w:val="true"/>
        <w:jc w:val="both"/>
        <w:rPr/>
      </w:pPr>
      <w:r>
        <w:rPr/>
        <w:t>Elektroonilise side seadus;</w:t>
      </w:r>
    </w:p>
    <w:p>
      <w:pPr>
        <w:pStyle w:val="Normal"/>
        <w:numPr>
          <w:ilvl w:val="0"/>
          <w:numId w:val="3"/>
        </w:numPr>
        <w:suppressAutoHyphens w:val="true"/>
        <w:jc w:val="both"/>
        <w:rPr/>
      </w:pPr>
      <w:r>
        <w:rPr/>
        <w:t>Majandus- ja taristuministri 02. juuni 2015 määrus nr.54. Ehitisele esitatavad tuleohutusnõuded.</w:t>
      </w:r>
    </w:p>
    <w:p>
      <w:pPr>
        <w:pStyle w:val="Normal"/>
        <w:spacing w:before="120" w:after="120"/>
        <w:jc w:val="both"/>
        <w:rPr/>
      </w:pPr>
      <w:r>
        <w:rPr/>
        <w:t>Projekteerimisel kasutatavate olulisemate standardite ja nõuete loetelu:</w:t>
      </w:r>
    </w:p>
    <w:p>
      <w:pPr>
        <w:pStyle w:val="TextBody"/>
        <w:numPr>
          <w:ilvl w:val="0"/>
          <w:numId w:val="3"/>
        </w:numPr>
        <w:spacing w:before="0" w:after="0"/>
        <w:ind w:left="714" w:right="0" w:hanging="360"/>
        <w:jc w:val="both"/>
        <w:rPr/>
      </w:pPr>
      <w:r>
        <w:rPr/>
        <w:t>Eesti standard EVS 811:2012 "Hoone ehitusprojekt";</w:t>
      </w:r>
    </w:p>
    <w:p>
      <w:pPr>
        <w:pStyle w:val="TextBody"/>
        <w:numPr>
          <w:ilvl w:val="0"/>
          <w:numId w:val="3"/>
        </w:numPr>
        <w:spacing w:before="0" w:after="0"/>
        <w:ind w:left="714" w:right="0" w:hanging="360"/>
        <w:jc w:val="both"/>
        <w:rPr/>
      </w:pPr>
      <w:r>
        <w:rPr/>
        <w:t>Eesti standard EVS 865-2:2014 „Ehitusprojekti kirjeldus. Osa 2: Põhiprojekti seletuskiri“;</w:t>
      </w:r>
    </w:p>
    <w:p>
      <w:pPr>
        <w:pStyle w:val="TextBody"/>
        <w:numPr>
          <w:ilvl w:val="0"/>
          <w:numId w:val="3"/>
        </w:numPr>
        <w:spacing w:before="0" w:after="0"/>
        <w:ind w:left="714" w:right="0" w:hanging="360"/>
        <w:jc w:val="both"/>
        <w:rPr/>
      </w:pPr>
      <w:r>
        <w:rPr/>
        <w:t>EVS-EN 61140:2006 Kaitse elektrilöögi eest. Ühisnõuded paigaldistele ja seadmetele;</w:t>
      </w:r>
    </w:p>
    <w:p>
      <w:pPr>
        <w:pStyle w:val="TextBody"/>
        <w:numPr>
          <w:ilvl w:val="0"/>
          <w:numId w:val="3"/>
        </w:numPr>
        <w:spacing w:before="0" w:after="0"/>
        <w:ind w:left="714" w:right="0" w:hanging="360"/>
        <w:jc w:val="both"/>
        <w:rPr/>
      </w:pPr>
      <w:r>
        <w:rPr/>
        <w:t>EVS-HD 60364 Ehitiste elektripaigaldised; Madalpingelised elektripaigaldised;</w:t>
      </w:r>
    </w:p>
    <w:p>
      <w:pPr>
        <w:pStyle w:val="TextBody"/>
        <w:numPr>
          <w:ilvl w:val="0"/>
          <w:numId w:val="3"/>
        </w:numPr>
        <w:spacing w:before="0" w:after="0"/>
        <w:ind w:left="714" w:right="0" w:hanging="360"/>
        <w:jc w:val="both"/>
        <w:rPr/>
      </w:pPr>
      <w:r>
        <w:rPr/>
        <w:t>EVS-EN 60529 Ümbristega tagatavad kaitseastmed (IP-kood);</w:t>
      </w:r>
    </w:p>
    <w:p>
      <w:pPr>
        <w:pStyle w:val="TextBody"/>
        <w:numPr>
          <w:ilvl w:val="0"/>
          <w:numId w:val="3"/>
        </w:numPr>
        <w:spacing w:before="0" w:after="0"/>
        <w:ind w:left="714" w:right="0" w:hanging="360"/>
        <w:jc w:val="both"/>
        <w:rPr/>
      </w:pPr>
      <w:r>
        <w:rPr/>
        <w:t>EVS-EN 60439; 61439 Madalpingelised aparaadikoosted;</w:t>
      </w:r>
    </w:p>
    <w:p>
      <w:pPr>
        <w:pStyle w:val="Normal"/>
        <w:numPr>
          <w:ilvl w:val="0"/>
          <w:numId w:val="3"/>
        </w:numPr>
        <w:suppressAutoHyphens w:val="true"/>
        <w:jc w:val="both"/>
        <w:rPr/>
      </w:pPr>
      <w:r>
        <w:rPr/>
        <w:t>EVS-EN 50310: „Application of equipotential bonding and earthing in buildings with information technology equipment“;</w:t>
      </w:r>
    </w:p>
    <w:p>
      <w:pPr>
        <w:pStyle w:val="Normal"/>
        <w:numPr>
          <w:ilvl w:val="0"/>
          <w:numId w:val="3"/>
        </w:numPr>
        <w:suppressAutoHyphens w:val="true"/>
        <w:jc w:val="both"/>
        <w:rPr/>
      </w:pPr>
      <w:r>
        <w:rPr/>
        <w:t>EVS-EN 50173: „Information technology - Generic cabling systems“;</w:t>
      </w:r>
    </w:p>
    <w:p>
      <w:pPr>
        <w:pStyle w:val="Normal"/>
        <w:numPr>
          <w:ilvl w:val="0"/>
          <w:numId w:val="3"/>
        </w:numPr>
        <w:suppressAutoHyphens w:val="true"/>
        <w:jc w:val="both"/>
        <w:rPr/>
      </w:pPr>
      <w:r>
        <w:rPr/>
        <w:t>EVS-EN 50174: „Information technology - Cabling installation“;</w:t>
      </w:r>
    </w:p>
    <w:p>
      <w:pPr>
        <w:pStyle w:val="Normal"/>
        <w:numPr>
          <w:ilvl w:val="0"/>
          <w:numId w:val="3"/>
        </w:numPr>
        <w:suppressAutoHyphens w:val="true"/>
        <w:jc w:val="both"/>
        <w:rPr/>
      </w:pPr>
      <w:r>
        <w:rPr/>
        <w:t>EVS-EN 50130 ja EVS-EN 50131 „Häiresüsteemid“;</w:t>
      </w:r>
    </w:p>
    <w:p>
      <w:pPr>
        <w:pStyle w:val="Normal"/>
        <w:numPr>
          <w:ilvl w:val="0"/>
          <w:numId w:val="3"/>
        </w:numPr>
        <w:suppressAutoHyphens w:val="true"/>
        <w:jc w:val="both"/>
        <w:rPr/>
      </w:pPr>
      <w:r>
        <w:rPr/>
        <w:t>EVS-EN 50136 „Häiresüsteemid. Häireedastussüsteemid ja -seadmed“;</w:t>
      </w:r>
    </w:p>
    <w:p>
      <w:pPr>
        <w:pStyle w:val="X"/>
        <w:numPr>
          <w:ilvl w:val="0"/>
          <w:numId w:val="9"/>
        </w:numPr>
        <w:rPr>
          <w:bCs/>
        </w:rPr>
      </w:pPr>
      <w:bookmarkStart w:id="49" w:name="__RefHeading__1184_890730114"/>
      <w:bookmarkStart w:id="50" w:name="_Toc455734167"/>
      <w:bookmarkStart w:id="51" w:name="_Toc368651670"/>
      <w:bookmarkStart w:id="52" w:name="_Toc364671321"/>
      <w:bookmarkStart w:id="53" w:name="_Toc356833102"/>
      <w:bookmarkEnd w:id="49"/>
      <w:bookmarkEnd w:id="50"/>
      <w:bookmarkEnd w:id="51"/>
      <w:bookmarkEnd w:id="52"/>
      <w:bookmarkEnd w:id="53"/>
      <w:r>
        <w:rPr>
          <w:bCs/>
        </w:rPr>
        <w:t>OLEMASOLEV</w:t>
      </w:r>
    </w:p>
    <w:p>
      <w:pPr>
        <w:pStyle w:val="TextBody"/>
        <w:spacing w:before="120" w:after="120"/>
        <w:jc w:val="both"/>
        <w:rPr>
          <w:highlight w:val="yellow"/>
        </w:rPr>
      </w:pPr>
      <w:r>
        <w:rPr>
          <w:highlight w:val="yellow"/>
        </w:rPr>
        <w:t xml:space="preserve">Kinnistul paiknevad olemasolev üksikelamu ning abihoone. Hooned on kantud ehitusregistrisse. </w:t>
      </w:r>
    </w:p>
    <w:p>
      <w:pPr>
        <w:pStyle w:val="TextBody"/>
        <w:spacing w:before="120" w:after="120"/>
        <w:jc w:val="both"/>
        <w:rPr>
          <w:highlight w:val="yellow"/>
        </w:rPr>
      </w:pPr>
      <w:r>
        <w:rPr>
          <w:highlight w:val="yellow"/>
        </w:rPr>
        <w:t>Ol</w:t>
      </w:r>
    </w:p>
    <w:p>
      <w:pPr>
        <w:pStyle w:val="X"/>
        <w:numPr>
          <w:ilvl w:val="0"/>
          <w:numId w:val="9"/>
        </w:numPr>
        <w:rPr>
          <w:bCs/>
        </w:rPr>
      </w:pPr>
      <w:bookmarkStart w:id="54" w:name="__RefHeading__1186_890730114"/>
      <w:bookmarkStart w:id="55" w:name="_Toc455734188"/>
      <w:bookmarkStart w:id="56" w:name="_Toc368651692"/>
      <w:bookmarkStart w:id="57" w:name="_Toc364671343"/>
      <w:bookmarkStart w:id="58" w:name="_Toc356833124"/>
      <w:bookmarkStart w:id="59" w:name="_Toc355793672"/>
      <w:bookmarkEnd w:id="54"/>
      <w:bookmarkEnd w:id="55"/>
      <w:bookmarkEnd w:id="56"/>
      <w:bookmarkEnd w:id="57"/>
      <w:bookmarkEnd w:id="58"/>
      <w:bookmarkEnd w:id="59"/>
      <w:r>
        <w:rPr>
          <w:bCs/>
        </w:rPr>
        <w:t>HOONE TEHNILISED ANDMED</w:t>
      </w:r>
    </w:p>
    <w:p>
      <w:pPr>
        <w:pStyle w:val="TextBody"/>
        <w:spacing w:before="120" w:after="120"/>
        <w:jc w:val="both"/>
        <w:rPr/>
      </w:pPr>
      <w:r>
        <w:rPr/>
        <w:t>Hoone andmed on toodud järgnevas tabelis:</w:t>
      </w:r>
    </w:p>
    <w:tbl>
      <w:tblPr>
        <w:jc w:val="left"/>
        <w:tblInd w:w="-40" w:type="dxa"/>
        <w:tblBorders>
          <w:top w:val="nil"/>
          <w:left w:val="nil"/>
          <w:bottom w:val="nil"/>
          <w:insideH w:val="nil"/>
          <w:right w:val="nil"/>
          <w:insideV w:val="nil"/>
        </w:tblBorders>
        <w:tblCellMar>
          <w:top w:w="0" w:type="dxa"/>
          <w:left w:w="108" w:type="dxa"/>
          <w:bottom w:w="0" w:type="dxa"/>
          <w:right w:w="108" w:type="dxa"/>
        </w:tblCellMar>
      </w:tblPr>
      <w:tblGrid>
        <w:gridCol w:w="816"/>
        <w:gridCol w:w="5428"/>
        <w:gridCol w:w="3122"/>
      </w:tblGrid>
      <w:tr>
        <w:trPr>
          <w:cantSplit w:val="false"/>
        </w:trPr>
        <w:tc>
          <w:tcPr>
            <w:tcW w:w="816" w:type="dxa"/>
            <w:tcBorders>
              <w:top w:val="nil"/>
              <w:left w:val="nil"/>
              <w:bottom w:val="nil"/>
              <w:insideH w:val="nil"/>
              <w:right w:val="nil"/>
              <w:insideV w:val="nil"/>
            </w:tcBorders>
            <w:shd w:fill="auto" w:val="clear"/>
          </w:tcPr>
          <w:p>
            <w:pPr>
              <w:pStyle w:val="TextBody"/>
              <w:spacing w:before="120" w:after="120"/>
              <w:jc w:val="center"/>
              <w:rPr/>
            </w:pPr>
            <w:r>
              <w:rPr/>
              <w:t>NR.</w:t>
            </w:r>
          </w:p>
        </w:tc>
        <w:tc>
          <w:tcPr>
            <w:tcW w:w="5428" w:type="dxa"/>
            <w:tcBorders>
              <w:top w:val="nil"/>
              <w:left w:val="nil"/>
              <w:bottom w:val="nil"/>
              <w:insideH w:val="nil"/>
              <w:right w:val="nil"/>
              <w:insideV w:val="nil"/>
            </w:tcBorders>
            <w:shd w:fill="auto" w:val="clear"/>
          </w:tcPr>
          <w:p>
            <w:pPr>
              <w:pStyle w:val="TextBody"/>
              <w:spacing w:before="120" w:after="120"/>
              <w:jc w:val="center"/>
              <w:rPr/>
            </w:pPr>
            <w:r>
              <w:rPr/>
              <w:t>NÄITAJA</w:t>
            </w:r>
          </w:p>
        </w:tc>
        <w:tc>
          <w:tcPr>
            <w:tcW w:w="3122" w:type="dxa"/>
            <w:tcBorders>
              <w:top w:val="nil"/>
              <w:left w:val="nil"/>
              <w:bottom w:val="nil"/>
              <w:insideH w:val="nil"/>
              <w:right w:val="nil"/>
              <w:insideV w:val="nil"/>
            </w:tcBorders>
            <w:shd w:fill="auto" w:val="clear"/>
          </w:tcPr>
          <w:p>
            <w:pPr>
              <w:pStyle w:val="TextBody"/>
              <w:spacing w:before="120" w:after="120"/>
              <w:jc w:val="center"/>
              <w:rPr/>
            </w:pPr>
            <w:r>
              <w:rPr/>
              <w:t>SUURUS</w:t>
            </w:r>
          </w:p>
        </w:tc>
      </w:tr>
      <w:tr>
        <w:trPr>
          <w:cantSplit w:val="false"/>
        </w:trPr>
        <w:tc>
          <w:tcPr>
            <w:tcW w:w="816"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numPr>
                <w:ilvl w:val="0"/>
                <w:numId w:val="5"/>
              </w:numPr>
              <w:suppressAutoHyphens w:val="true"/>
              <w:spacing w:before="120" w:after="120"/>
              <w:jc w:val="center"/>
              <w:rPr/>
            </w:pPr>
            <w:r>
              <w:rPr/>
            </w:r>
          </w:p>
        </w:tc>
        <w:tc>
          <w:tcPr>
            <w:tcW w:w="5428"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TextBody"/>
              <w:spacing w:before="120" w:after="120"/>
              <w:jc w:val="both"/>
              <w:rPr/>
            </w:pPr>
            <w:r>
              <w:rPr/>
              <w:t>HOONE KASUTAMISE OTSTARVE</w:t>
            </w:r>
          </w:p>
        </w:tc>
        <w:tc>
          <w:tcPr>
            <w:tcW w:w="31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TextBody"/>
              <w:spacing w:before="120" w:after="120"/>
              <w:jc w:val="both"/>
              <w:rPr/>
            </w:pPr>
            <w:r>
              <w:rPr/>
              <w:t>Elamu</w:t>
            </w:r>
          </w:p>
        </w:tc>
      </w:tr>
      <w:tr>
        <w:trPr>
          <w:cantSplit w:val="false"/>
        </w:trPr>
        <w:tc>
          <w:tcPr>
            <w:tcW w:w="816"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numPr>
                <w:ilvl w:val="0"/>
                <w:numId w:val="5"/>
              </w:numPr>
              <w:suppressAutoHyphens w:val="true"/>
              <w:spacing w:before="120" w:after="120"/>
              <w:jc w:val="center"/>
              <w:rPr/>
            </w:pPr>
            <w:r>
              <w:rPr/>
            </w:r>
          </w:p>
        </w:tc>
        <w:tc>
          <w:tcPr>
            <w:tcW w:w="5428"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TextBody"/>
              <w:spacing w:before="120" w:after="120"/>
              <w:jc w:val="both"/>
              <w:rPr/>
            </w:pPr>
            <w:r>
              <w:rPr/>
              <w:t>HOONE KASUTAMISE OTSTARBE KOOD</w:t>
            </w:r>
          </w:p>
        </w:tc>
        <w:tc>
          <w:tcPr>
            <w:tcW w:w="31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TextBody"/>
              <w:spacing w:before="120" w:after="120"/>
              <w:jc w:val="both"/>
              <w:rPr/>
            </w:pPr>
            <w:r>
              <w:rPr/>
              <w:t>11101</w:t>
            </w:r>
          </w:p>
        </w:tc>
      </w:tr>
      <w:tr>
        <w:trPr>
          <w:cantSplit w:val="false"/>
        </w:trPr>
        <w:tc>
          <w:tcPr>
            <w:tcW w:w="816"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numPr>
                <w:ilvl w:val="0"/>
                <w:numId w:val="5"/>
              </w:numPr>
              <w:suppressAutoHyphens w:val="true"/>
              <w:spacing w:before="120" w:after="120"/>
              <w:jc w:val="center"/>
              <w:rPr/>
            </w:pPr>
            <w:r>
              <w:rPr/>
            </w:r>
          </w:p>
        </w:tc>
        <w:tc>
          <w:tcPr>
            <w:tcW w:w="5428"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TextBody"/>
              <w:spacing w:before="120" w:after="120"/>
              <w:jc w:val="both"/>
              <w:rPr/>
            </w:pPr>
            <w:r>
              <w:rPr/>
              <w:t>EHITUSREGISTRI KOOD</w:t>
            </w:r>
          </w:p>
        </w:tc>
        <w:tc>
          <w:tcPr>
            <w:tcW w:w="31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TextBody"/>
              <w:spacing w:before="120" w:after="120"/>
              <w:jc w:val="both"/>
              <w:rPr>
                <w:rStyle w:val="InternetLink"/>
              </w:rPr>
            </w:pPr>
            <w:hyperlink r:id="rId2">
              <w:r>
                <w:rPr>
                  <w:rStyle w:val="InternetLink"/>
                </w:rPr>
                <w:t>104015405</w:t>
              </w:r>
            </w:hyperlink>
          </w:p>
        </w:tc>
      </w:tr>
      <w:tr>
        <w:trPr>
          <w:cantSplit w:val="false"/>
        </w:trPr>
        <w:tc>
          <w:tcPr>
            <w:tcW w:w="816"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numPr>
                <w:ilvl w:val="0"/>
                <w:numId w:val="5"/>
              </w:numPr>
              <w:suppressAutoHyphens w:val="true"/>
              <w:spacing w:before="120" w:after="120"/>
              <w:jc w:val="center"/>
              <w:rPr/>
            </w:pPr>
            <w:r>
              <w:rPr/>
            </w:r>
          </w:p>
        </w:tc>
        <w:tc>
          <w:tcPr>
            <w:tcW w:w="5428"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TextBody"/>
              <w:spacing w:before="120" w:after="120"/>
              <w:jc w:val="both"/>
              <w:rPr/>
            </w:pPr>
            <w:r>
              <w:rPr/>
              <w:t>EHITISEALUNE PINDALA</w:t>
            </w:r>
          </w:p>
        </w:tc>
        <w:tc>
          <w:tcPr>
            <w:tcW w:w="31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TextBody"/>
              <w:spacing w:before="120" w:after="120"/>
              <w:jc w:val="both"/>
              <w:rPr/>
            </w:pPr>
            <w:r>
              <w:rPr/>
              <w:t>120,0 m²</w:t>
            </w:r>
          </w:p>
        </w:tc>
      </w:tr>
      <w:tr>
        <w:trPr>
          <w:cantSplit w:val="false"/>
        </w:trPr>
        <w:tc>
          <w:tcPr>
            <w:tcW w:w="816"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numPr>
                <w:ilvl w:val="0"/>
                <w:numId w:val="5"/>
              </w:numPr>
              <w:suppressAutoHyphens w:val="true"/>
              <w:spacing w:before="120" w:after="120"/>
              <w:jc w:val="center"/>
              <w:rPr/>
            </w:pPr>
            <w:r>
              <w:rPr/>
            </w:r>
          </w:p>
        </w:tc>
        <w:tc>
          <w:tcPr>
            <w:tcW w:w="5428"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TextBody"/>
              <w:spacing w:before="120" w:after="120"/>
              <w:jc w:val="both"/>
              <w:rPr/>
            </w:pPr>
            <w:r>
              <w:rPr/>
              <w:t>KORRUSELISUS</w:t>
            </w:r>
          </w:p>
        </w:tc>
        <w:tc>
          <w:tcPr>
            <w:tcW w:w="31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TextBody"/>
              <w:spacing w:before="120" w:after="120"/>
              <w:jc w:val="both"/>
              <w:rPr/>
            </w:pPr>
            <w:r>
              <w:rPr/>
              <w:t>2 korrust</w:t>
            </w:r>
          </w:p>
        </w:tc>
      </w:tr>
      <w:tr>
        <w:trPr>
          <w:cantSplit w:val="false"/>
        </w:trPr>
        <w:tc>
          <w:tcPr>
            <w:tcW w:w="816"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numPr>
                <w:ilvl w:val="0"/>
                <w:numId w:val="5"/>
              </w:numPr>
              <w:suppressAutoHyphens w:val="true"/>
              <w:spacing w:before="120" w:after="120"/>
              <w:jc w:val="center"/>
              <w:rPr/>
            </w:pPr>
            <w:r>
              <w:rPr/>
            </w:r>
          </w:p>
        </w:tc>
        <w:tc>
          <w:tcPr>
            <w:tcW w:w="5428"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TextBody"/>
              <w:spacing w:before="120" w:after="120"/>
              <w:jc w:val="both"/>
              <w:rPr/>
            </w:pPr>
            <w:r>
              <w:rPr/>
              <w:t>HOONE SULETUD BRUTOPINDALA</w:t>
            </w:r>
          </w:p>
        </w:tc>
        <w:tc>
          <w:tcPr>
            <w:tcW w:w="31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TextBody"/>
              <w:spacing w:before="120" w:after="120"/>
              <w:jc w:val="both"/>
              <w:rPr>
                <w:bCs/>
              </w:rPr>
            </w:pPr>
            <w:r>
              <w:rPr/>
              <w:t xml:space="preserve">252,7 </w:t>
            </w:r>
            <w:r>
              <w:rPr>
                <w:bCs/>
              </w:rPr>
              <w:t>m²</w:t>
            </w:r>
          </w:p>
          <w:p>
            <w:pPr>
              <w:pStyle w:val="TextBody"/>
              <w:spacing w:before="120" w:after="120"/>
              <w:jc w:val="both"/>
              <w:rPr>
                <w:bCs/>
              </w:rPr>
            </w:pPr>
            <w:r>
              <w:rPr>
                <w:bCs/>
              </w:rPr>
              <w:t>Millest maapealne 225,5 m²</w:t>
            </w:r>
          </w:p>
          <w:p>
            <w:pPr>
              <w:pStyle w:val="TextBody"/>
              <w:spacing w:before="120" w:after="120"/>
              <w:jc w:val="both"/>
              <w:rPr>
                <w:bCs/>
              </w:rPr>
            </w:pPr>
            <w:r>
              <w:rPr>
                <w:bCs/>
              </w:rPr>
              <w:t>Maa-alune kelder 27,5 m²</w:t>
            </w:r>
          </w:p>
        </w:tc>
      </w:tr>
      <w:tr>
        <w:trPr>
          <w:cantSplit w:val="false"/>
        </w:trPr>
        <w:tc>
          <w:tcPr>
            <w:tcW w:w="816"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numPr>
                <w:ilvl w:val="0"/>
                <w:numId w:val="5"/>
              </w:numPr>
              <w:suppressAutoHyphens w:val="true"/>
              <w:spacing w:before="120" w:after="120"/>
              <w:jc w:val="center"/>
              <w:rPr/>
            </w:pPr>
            <w:r>
              <w:rPr/>
            </w:r>
          </w:p>
        </w:tc>
        <w:tc>
          <w:tcPr>
            <w:tcW w:w="5428"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TextBody"/>
              <w:spacing w:before="120" w:after="120"/>
              <w:jc w:val="both"/>
              <w:rPr/>
            </w:pPr>
            <w:r>
              <w:rPr/>
              <w:t>HOONE SULETUD NETOPINDALA</w:t>
            </w:r>
          </w:p>
        </w:tc>
        <w:tc>
          <w:tcPr>
            <w:tcW w:w="31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TextBody"/>
              <w:spacing w:before="120" w:after="120"/>
              <w:jc w:val="both"/>
              <w:rPr>
                <w:bCs/>
              </w:rPr>
            </w:pPr>
            <w:r>
              <w:rPr/>
              <w:t>187,5 </w:t>
            </w:r>
            <w:r>
              <w:rPr>
                <w:bCs/>
              </w:rPr>
              <w:t>m²</w:t>
            </w:r>
          </w:p>
        </w:tc>
      </w:tr>
      <w:tr>
        <w:trPr>
          <w:cantSplit w:val="false"/>
        </w:trPr>
        <w:tc>
          <w:tcPr>
            <w:tcW w:w="816"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numPr>
                <w:ilvl w:val="0"/>
                <w:numId w:val="5"/>
              </w:numPr>
              <w:suppressAutoHyphens w:val="true"/>
              <w:spacing w:before="120" w:after="120"/>
              <w:jc w:val="center"/>
              <w:rPr/>
            </w:pPr>
            <w:r>
              <w:rPr/>
            </w:r>
          </w:p>
        </w:tc>
        <w:tc>
          <w:tcPr>
            <w:tcW w:w="5428"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TextBody"/>
              <w:spacing w:before="120" w:after="120"/>
              <w:jc w:val="both"/>
              <w:rPr/>
            </w:pPr>
            <w:r>
              <w:rPr/>
              <w:t>HOONE MAHT</w:t>
            </w:r>
          </w:p>
        </w:tc>
        <w:tc>
          <w:tcPr>
            <w:tcW w:w="31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TextBody"/>
              <w:spacing w:before="120" w:after="120"/>
              <w:jc w:val="both"/>
              <w:rPr>
                <w:rFonts w:cs="Tahoma"/>
              </w:rPr>
            </w:pPr>
            <w:r>
              <w:rPr/>
              <w:t xml:space="preserve">742 </w:t>
            </w:r>
            <w:r>
              <w:rPr>
                <w:rFonts w:cs="Tahoma"/>
              </w:rPr>
              <w:t>m³</w:t>
            </w:r>
          </w:p>
        </w:tc>
      </w:tr>
      <w:tr>
        <w:trPr>
          <w:cantSplit w:val="false"/>
        </w:trPr>
        <w:tc>
          <w:tcPr>
            <w:tcW w:w="816"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numPr>
                <w:ilvl w:val="0"/>
                <w:numId w:val="5"/>
              </w:numPr>
              <w:suppressAutoHyphens w:val="true"/>
              <w:spacing w:before="120" w:after="120"/>
              <w:jc w:val="center"/>
              <w:rPr/>
            </w:pPr>
            <w:r>
              <w:rPr/>
            </w:r>
          </w:p>
        </w:tc>
        <w:tc>
          <w:tcPr>
            <w:tcW w:w="5428"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TextBody"/>
              <w:spacing w:before="120" w:after="120"/>
              <w:jc w:val="both"/>
              <w:rPr>
                <w:bCs/>
              </w:rPr>
            </w:pPr>
            <w:r>
              <w:rPr>
                <w:bCs/>
              </w:rPr>
              <w:t>HOONE PIKKUS</w:t>
            </w:r>
          </w:p>
        </w:tc>
        <w:tc>
          <w:tcPr>
            <w:tcW w:w="31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TextBody"/>
              <w:spacing w:before="120" w:after="120"/>
              <w:jc w:val="both"/>
              <w:rPr>
                <w:bCs/>
              </w:rPr>
            </w:pPr>
            <w:r>
              <w:rPr>
                <w:bCs/>
              </w:rPr>
              <w:t>16,3 m</w:t>
            </w:r>
          </w:p>
        </w:tc>
      </w:tr>
      <w:tr>
        <w:trPr>
          <w:cantSplit w:val="false"/>
        </w:trPr>
        <w:tc>
          <w:tcPr>
            <w:tcW w:w="816"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numPr>
                <w:ilvl w:val="0"/>
                <w:numId w:val="5"/>
              </w:numPr>
              <w:suppressAutoHyphens w:val="true"/>
              <w:spacing w:before="120" w:after="120"/>
              <w:jc w:val="center"/>
              <w:rPr/>
            </w:pPr>
            <w:r>
              <w:rPr/>
            </w:r>
          </w:p>
        </w:tc>
        <w:tc>
          <w:tcPr>
            <w:tcW w:w="5428"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TextBody"/>
              <w:spacing w:before="120" w:after="120"/>
              <w:jc w:val="both"/>
              <w:rPr>
                <w:bCs/>
              </w:rPr>
            </w:pPr>
            <w:r>
              <w:rPr>
                <w:bCs/>
              </w:rPr>
              <w:t>HOONE LAIUS</w:t>
            </w:r>
          </w:p>
        </w:tc>
        <w:tc>
          <w:tcPr>
            <w:tcW w:w="31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TextBody"/>
              <w:spacing w:before="120" w:after="120"/>
              <w:jc w:val="both"/>
              <w:rPr>
                <w:bCs/>
              </w:rPr>
            </w:pPr>
            <w:r>
              <w:rPr>
                <w:bCs/>
              </w:rPr>
              <w:t>10,0 m</w:t>
            </w:r>
          </w:p>
        </w:tc>
      </w:tr>
      <w:tr>
        <w:trPr>
          <w:cantSplit w:val="false"/>
        </w:trPr>
        <w:tc>
          <w:tcPr>
            <w:tcW w:w="816"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numPr>
                <w:ilvl w:val="0"/>
                <w:numId w:val="5"/>
              </w:numPr>
              <w:suppressAutoHyphens w:val="true"/>
              <w:spacing w:before="120" w:after="120"/>
              <w:jc w:val="center"/>
              <w:rPr/>
            </w:pPr>
            <w:r>
              <w:rPr/>
            </w:r>
          </w:p>
        </w:tc>
        <w:tc>
          <w:tcPr>
            <w:tcW w:w="5428"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TextBody"/>
              <w:spacing w:before="120" w:after="120"/>
              <w:jc w:val="both"/>
              <w:rPr>
                <w:bCs/>
              </w:rPr>
            </w:pPr>
            <w:r>
              <w:rPr>
                <w:bCs/>
              </w:rPr>
              <w:t>HOONE KÕRGUS</w:t>
            </w:r>
          </w:p>
        </w:tc>
        <w:tc>
          <w:tcPr>
            <w:tcW w:w="31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TextBody"/>
              <w:spacing w:before="120" w:after="120"/>
              <w:jc w:val="both"/>
              <w:rPr>
                <w:bCs/>
              </w:rPr>
            </w:pPr>
            <w:bookmarkStart w:id="60" w:name="_GoBack"/>
            <w:bookmarkEnd w:id="60"/>
            <w:r>
              <w:rPr>
                <w:bCs/>
              </w:rPr>
              <w:t>9,0 m</w:t>
            </w:r>
          </w:p>
        </w:tc>
      </w:tr>
      <w:tr>
        <w:trPr>
          <w:cantSplit w:val="false"/>
        </w:trPr>
        <w:tc>
          <w:tcPr>
            <w:tcW w:w="816"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numPr>
                <w:ilvl w:val="0"/>
                <w:numId w:val="5"/>
              </w:numPr>
              <w:suppressAutoHyphens w:val="true"/>
              <w:spacing w:before="120" w:after="120"/>
              <w:jc w:val="center"/>
              <w:rPr/>
            </w:pPr>
            <w:r>
              <w:rPr/>
            </w:r>
          </w:p>
        </w:tc>
        <w:tc>
          <w:tcPr>
            <w:tcW w:w="5428"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TextBody"/>
              <w:spacing w:before="120" w:after="120"/>
              <w:jc w:val="both"/>
              <w:rPr>
                <w:bCs/>
              </w:rPr>
            </w:pPr>
            <w:r>
              <w:rPr>
                <w:bCs/>
              </w:rPr>
              <w:t>TULEPÜSIVUSE ASTE</w:t>
            </w:r>
          </w:p>
        </w:tc>
        <w:tc>
          <w:tcPr>
            <w:tcW w:w="31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TextBody"/>
              <w:spacing w:before="120" w:after="120"/>
              <w:jc w:val="both"/>
              <w:rPr>
                <w:bCs/>
              </w:rPr>
            </w:pPr>
            <w:r>
              <w:rPr>
                <w:bCs/>
              </w:rPr>
              <w:t>TP-3</w:t>
            </w:r>
          </w:p>
        </w:tc>
      </w:tr>
      <w:tr>
        <w:trPr>
          <w:cantSplit w:val="false"/>
        </w:trPr>
        <w:tc>
          <w:tcPr>
            <w:tcW w:w="816"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Normal"/>
              <w:numPr>
                <w:ilvl w:val="0"/>
                <w:numId w:val="5"/>
              </w:numPr>
              <w:suppressAutoHyphens w:val="true"/>
              <w:spacing w:before="120" w:after="120"/>
              <w:jc w:val="center"/>
              <w:rPr/>
            </w:pPr>
            <w:r>
              <w:rPr/>
            </w:r>
          </w:p>
        </w:tc>
        <w:tc>
          <w:tcPr>
            <w:tcW w:w="5428" w:type="dxa"/>
            <w:tcBorders>
              <w:top w:val="single" w:sz="4" w:space="0" w:color="000001"/>
              <w:left w:val="single" w:sz="4" w:space="0" w:color="000001"/>
              <w:bottom w:val="single" w:sz="4" w:space="0" w:color="000001"/>
              <w:insideH w:val="single" w:sz="4" w:space="0" w:color="000001"/>
              <w:right w:val="nil"/>
              <w:insideV w:val="nil"/>
            </w:tcBorders>
            <w:shd w:fill="auto" w:val="clear"/>
            <w:tcMar>
              <w:left w:w="103" w:type="dxa"/>
            </w:tcMar>
          </w:tcPr>
          <w:p>
            <w:pPr>
              <w:pStyle w:val="TextBody"/>
              <w:spacing w:before="120" w:after="120"/>
              <w:jc w:val="both"/>
              <w:rPr>
                <w:bCs/>
              </w:rPr>
            </w:pPr>
            <w:r>
              <w:rPr>
                <w:bCs/>
              </w:rPr>
              <w:t>HOONE KASUTUSIGA</w:t>
            </w:r>
          </w:p>
        </w:tc>
        <w:tc>
          <w:tcPr>
            <w:tcW w:w="3122" w:type="dxa"/>
            <w:tcBorders>
              <w:top w:val="single" w:sz="4" w:space="0" w:color="000001"/>
              <w:left w:val="single" w:sz="4" w:space="0" w:color="000001"/>
              <w:bottom w:val="single" w:sz="4" w:space="0" w:color="000001"/>
              <w:insideH w:val="single" w:sz="4" w:space="0" w:color="000001"/>
              <w:right w:val="single" w:sz="4" w:space="0" w:color="000001"/>
              <w:insideV w:val="single" w:sz="4" w:space="0" w:color="000001"/>
            </w:tcBorders>
            <w:shd w:fill="auto" w:val="clear"/>
            <w:tcMar>
              <w:left w:w="103" w:type="dxa"/>
            </w:tcMar>
          </w:tcPr>
          <w:p>
            <w:pPr>
              <w:pStyle w:val="TextBody"/>
              <w:spacing w:before="120" w:after="120"/>
              <w:jc w:val="both"/>
              <w:rPr>
                <w:bCs/>
              </w:rPr>
            </w:pPr>
            <w:r>
              <w:rPr>
                <w:bCs/>
              </w:rPr>
              <w:t>50 aastat</w:t>
            </w:r>
          </w:p>
        </w:tc>
      </w:tr>
    </w:tbl>
    <w:p>
      <w:pPr>
        <w:pStyle w:val="TextBody"/>
        <w:spacing w:before="120" w:after="120"/>
        <w:jc w:val="both"/>
        <w:rPr/>
      </w:pPr>
      <w:r>
        <w:rPr/>
      </w:r>
    </w:p>
    <w:p>
      <w:pPr>
        <w:pStyle w:val="X"/>
        <w:numPr>
          <w:ilvl w:val="0"/>
          <w:numId w:val="9"/>
        </w:numPr>
        <w:rPr/>
      </w:pPr>
      <w:bookmarkStart w:id="61" w:name="__RefHeading__1188_890730114"/>
      <w:bookmarkStart w:id="62" w:name="_Toc455734189"/>
      <w:bookmarkEnd w:id="61"/>
      <w:bookmarkEnd w:id="62"/>
      <w:r>
        <w:rPr/>
        <w:t>TUGEVVOOLUPAIGALDIS</w:t>
      </w:r>
    </w:p>
    <w:p>
      <w:pPr>
        <w:pStyle w:val="XXu"/>
        <w:numPr>
          <w:ilvl w:val="1"/>
          <w:numId w:val="9"/>
        </w:numPr>
        <w:tabs>
          <w:tab w:val="left" w:pos="851" w:leader="none"/>
        </w:tabs>
        <w:spacing w:before="240" w:after="120"/>
        <w:ind w:left="851" w:right="0" w:hanging="851"/>
        <w:rPr/>
      </w:pPr>
      <w:bookmarkStart w:id="63" w:name="__RefHeading__1190_890730114"/>
      <w:bookmarkStart w:id="64" w:name="_Toc455734192"/>
      <w:bookmarkStart w:id="65" w:name="_Toc413926809"/>
      <w:bookmarkEnd w:id="63"/>
      <w:bookmarkEnd w:id="64"/>
      <w:bookmarkEnd w:id="65"/>
      <w:r>
        <w:rPr/>
        <w:t>Elektrivarustus</w:t>
      </w:r>
    </w:p>
    <w:p>
      <w:pPr>
        <w:pStyle w:val="Normal"/>
        <w:spacing w:before="0" w:after="120"/>
        <w:jc w:val="both"/>
        <w:rPr/>
      </w:pPr>
      <w:r>
        <w:rPr/>
        <w:t xml:space="preserve">Hoone saab toite Elektrilevile kuuluvalt  tänava õhuliinilt visangu kaudu. Olemasolev sisestuskilp koos elektrinergia arvestitega 3-le korterile asub trepihallis. Kinnistu peakaitse on 40 A. Vastavalt võrgulepingutele (lepingud nr. 0295207535, nr. 0299256149 ja nr. 0291649575 on korterite peakaitsmed 13,33 A. Liitumispunkt asub sisestuskilbis tarbija toitekaabli kingadel. </w:t>
      </w:r>
      <w:r>
        <w:rPr>
          <w:highlight w:val="yellow"/>
        </w:rPr>
        <w:t>Sisestuskilp uuendatakse, tööd tuleb teha Elektrileviga kooskõlastatult ja nende nõusolekul.</w:t>
      </w:r>
      <w:r>
        <w:rPr/>
        <w:t xml:space="preserve"> </w:t>
      </w:r>
    </w:p>
    <w:p>
      <w:pPr>
        <w:pStyle w:val="Normal"/>
        <w:spacing w:before="0" w:after="120"/>
        <w:jc w:val="both"/>
        <w:rPr/>
      </w:pPr>
      <w:r>
        <w:rPr/>
        <w:t>Juhistik hoones tuleb teostada vastavalt TN-S (5-juhtmelisele) süsteemile. Korteritele nähakse ette uued TN-S süsteemis jaotuskeskused, , s.t. nendes on nii N kui PE latt ning komplekteeritakse 3-pooluselise pealülitiga ja väljuvad liinid 1- ja 3-faasiliste lühise ja ülekoormuse eest kaitsevate kaitselülititega. Üldkasutatavate pistikupesade ahelad varustatakse rikkevoolu kaitselülititega rakendusvooluga 30 mA.</w:t>
      </w:r>
    </w:p>
    <w:p>
      <w:pPr>
        <w:pStyle w:val="XXu"/>
        <w:numPr>
          <w:ilvl w:val="1"/>
          <w:numId w:val="9"/>
        </w:numPr>
        <w:tabs>
          <w:tab w:val="left" w:pos="851" w:leader="none"/>
        </w:tabs>
        <w:spacing w:before="240" w:after="120"/>
        <w:ind w:left="851" w:right="0" w:hanging="851"/>
        <w:rPr/>
      </w:pPr>
      <w:bookmarkStart w:id="66" w:name="__RefHeading__1192_890730114"/>
      <w:bookmarkStart w:id="67" w:name="_Toc249169471"/>
      <w:bookmarkStart w:id="68" w:name="_Toc238972651"/>
      <w:bookmarkStart w:id="69" w:name="_Toc238971485"/>
      <w:bookmarkStart w:id="70" w:name="_Toc455734193"/>
      <w:bookmarkStart w:id="71" w:name="_Toc413926825"/>
      <w:bookmarkStart w:id="72" w:name="_Toc346620073"/>
      <w:bookmarkEnd w:id="66"/>
      <w:bookmarkEnd w:id="67"/>
      <w:bookmarkEnd w:id="68"/>
      <w:bookmarkEnd w:id="69"/>
      <w:bookmarkEnd w:id="70"/>
      <w:bookmarkEnd w:id="71"/>
      <w:bookmarkEnd w:id="72"/>
      <w:r>
        <w:rPr/>
        <w:t>Jõuseadmete elektrivarustus</w:t>
      </w:r>
    </w:p>
    <w:p>
      <w:pPr>
        <w:pStyle w:val="Normal"/>
        <w:jc w:val="both"/>
        <w:rPr/>
      </w:pPr>
      <w:bookmarkStart w:id="73" w:name="_Toc249169471"/>
      <w:bookmarkStart w:id="74" w:name="_Toc238972651"/>
      <w:bookmarkStart w:id="75" w:name="_Toc238971485"/>
      <w:bookmarkEnd w:id="73"/>
      <w:bookmarkEnd w:id="74"/>
      <w:bookmarkEnd w:id="75"/>
      <w:r>
        <w:rPr/>
        <w:t>Tehnoloogiliste jõuseadmete toide projekteeritakse vastavalt tehnoloogilt ja eriosadelt saadud lähteülesannetele. Toide on ette nähtud lahendada kuni seadme klemmkarbini või komplektis oleva jõu- või lahutuskilbini. Tehnoloogiliste seadmetega komplektis olevate kilpide omavahelised ja seadmete külge minevad kaablid tuleb paigaldada seadme valmistaja dokumentatsiooni järgi. Suuremad reaktiivvõimsuse tarbijad (mootorid jms) peavad olema kompenseeritud tarbijapõhiselt.</w:t>
      </w:r>
    </w:p>
    <w:p>
      <w:pPr>
        <w:pStyle w:val="XXu"/>
        <w:numPr>
          <w:ilvl w:val="1"/>
          <w:numId w:val="9"/>
        </w:numPr>
        <w:tabs>
          <w:tab w:val="left" w:pos="851" w:leader="none"/>
        </w:tabs>
        <w:spacing w:before="240" w:after="120"/>
        <w:ind w:left="851" w:right="0" w:hanging="851"/>
        <w:rPr/>
      </w:pPr>
      <w:bookmarkStart w:id="76" w:name="__RefHeading__1194_890730114"/>
      <w:bookmarkStart w:id="77" w:name="_Toc455734194"/>
      <w:bookmarkStart w:id="78" w:name="_Toc346620077"/>
      <w:bookmarkStart w:id="79" w:name="_Toc249169475"/>
      <w:bookmarkStart w:id="80" w:name="_Toc238972655"/>
      <w:bookmarkStart w:id="81" w:name="_Toc238971489"/>
      <w:bookmarkEnd w:id="76"/>
      <w:bookmarkEnd w:id="77"/>
      <w:bookmarkEnd w:id="78"/>
      <w:bookmarkEnd w:id="79"/>
      <w:bookmarkEnd w:id="80"/>
      <w:bookmarkEnd w:id="81"/>
      <w:r>
        <w:rPr/>
        <w:t>Pistikupesad</w:t>
      </w:r>
    </w:p>
    <w:p>
      <w:pPr>
        <w:pStyle w:val="Normal"/>
        <w:jc w:val="both"/>
        <w:rPr/>
      </w:pPr>
      <w:r>
        <w:rPr/>
        <w:t>Kõik pistikupesad peavad olema kaitsekontaktiga. Niisketes, tolmustes ja tuleohtlikes ruumides kasutada IP44 kaitseastmega pistikupesi. Kõik ühefaasilised pistikupesad peavad olema varustatud ava sulguriga ehk “lastekaitsega”. Pistikupesade ahelate puhul kasutada mitte väiksema kui 2,5 mm2 ristlõikepindalaga 3-juhilisi (L, N, PE) vaskkaableid.</w:t>
      </w:r>
    </w:p>
    <w:p>
      <w:pPr>
        <w:pStyle w:val="XXX"/>
        <w:numPr>
          <w:ilvl w:val="2"/>
          <w:numId w:val="9"/>
        </w:numPr>
        <w:tabs>
          <w:tab w:val="left" w:pos="851" w:leader="none"/>
        </w:tabs>
        <w:ind w:left="851" w:right="0" w:hanging="851"/>
        <w:rPr/>
      </w:pPr>
      <w:bookmarkStart w:id="82" w:name="__RefHeading__1196_890730114"/>
      <w:bookmarkStart w:id="83" w:name="_Toc455734195"/>
      <w:bookmarkStart w:id="84" w:name="_Toc413926827"/>
      <w:bookmarkStart w:id="85" w:name="_Toc346620079"/>
      <w:bookmarkStart w:id="86" w:name="_Toc249169478"/>
      <w:bookmarkStart w:id="87" w:name="_Toc238972658"/>
      <w:bookmarkStart w:id="88" w:name="_Toc238971492"/>
      <w:bookmarkEnd w:id="82"/>
      <w:bookmarkEnd w:id="83"/>
      <w:bookmarkEnd w:id="84"/>
      <w:bookmarkEnd w:id="85"/>
      <w:bookmarkEnd w:id="86"/>
      <w:bookmarkEnd w:id="87"/>
      <w:bookmarkEnd w:id="88"/>
      <w:r>
        <w:rPr/>
        <w:t>Valgustus</w:t>
      </w:r>
    </w:p>
    <w:p>
      <w:pPr>
        <w:pStyle w:val="Normal"/>
        <w:spacing w:before="120" w:after="120"/>
        <w:jc w:val="both"/>
        <w:rPr/>
      </w:pPr>
      <w:r>
        <w:rPr/>
        <w:t xml:space="preserve">Ruumide valgustite tüübid, paigalduskõrgused, vahekaugused, lampide tüübid, võimsused jms. valib tellija. </w:t>
      </w:r>
      <w:bookmarkStart w:id="89" w:name="_Toc249169453"/>
      <w:r>
        <w:rPr/>
        <w:t>Valgustuse juhtimine toimub lülititega käsitsi, erandiks on numbrivalgusti ja tänavapoolsed sissepääsude valgustid –neid juhib hämaralüliti.</w:t>
      </w:r>
    </w:p>
    <w:p>
      <w:pPr>
        <w:pStyle w:val="XXX"/>
        <w:numPr>
          <w:ilvl w:val="2"/>
          <w:numId w:val="9"/>
        </w:numPr>
        <w:tabs>
          <w:tab w:val="left" w:pos="851" w:leader="none"/>
        </w:tabs>
        <w:ind w:left="851" w:right="0" w:hanging="851"/>
        <w:rPr/>
      </w:pPr>
      <w:bookmarkStart w:id="90" w:name="__RefHeading__1198_890730114"/>
      <w:bookmarkStart w:id="91" w:name="_Toc455734196"/>
      <w:bookmarkStart w:id="92" w:name="_Toc413926828"/>
      <w:bookmarkStart w:id="93" w:name="_Toc346620081"/>
      <w:bookmarkStart w:id="94" w:name="_Toc249169481"/>
      <w:bookmarkStart w:id="95" w:name="_Toc238972661"/>
      <w:bookmarkStart w:id="96" w:name="_Toc238971495"/>
      <w:bookmarkEnd w:id="89"/>
      <w:bookmarkEnd w:id="90"/>
      <w:bookmarkEnd w:id="91"/>
      <w:bookmarkEnd w:id="92"/>
      <w:bookmarkEnd w:id="93"/>
      <w:bookmarkEnd w:id="94"/>
      <w:bookmarkEnd w:id="95"/>
      <w:bookmarkEnd w:id="96"/>
      <w:r>
        <w:rPr/>
        <w:t>Küttesüsteemid ja –seadmed</w:t>
      </w:r>
    </w:p>
    <w:p>
      <w:pPr>
        <w:pStyle w:val="Normal"/>
        <w:jc w:val="both"/>
        <w:rPr>
          <w:highlight w:val="yellow"/>
        </w:rPr>
      </w:pPr>
      <w:r>
        <w:rPr>
          <w:highlight w:val="yellow"/>
        </w:rPr>
        <w:t>Elektriliste küttesüsteemide kasutamine täpsustatakse järgmises projekteerimisetapis.</w:t>
      </w:r>
    </w:p>
    <w:p>
      <w:pPr>
        <w:pStyle w:val="Normal"/>
        <w:jc w:val="both"/>
        <w:rPr>
          <w:highlight w:val="yellow"/>
        </w:rPr>
      </w:pPr>
      <w:bookmarkStart w:id="97" w:name="_Toc249169485"/>
      <w:bookmarkStart w:id="98" w:name="_Toc238972665"/>
      <w:bookmarkStart w:id="99" w:name="_Toc238971499"/>
      <w:bookmarkEnd w:id="97"/>
      <w:bookmarkEnd w:id="98"/>
      <w:bookmarkEnd w:id="99"/>
      <w:r>
        <w:rPr>
          <w:highlight w:val="yellow"/>
        </w:rPr>
        <w:t>Küttekaablite kasutamine vihmaveelehtrites, äravoolutorudes, pinnaveerennides tekkiva jää ja lume sulatamiseks täpsustatakse järgmises projekteerimisetapis.</w:t>
      </w:r>
    </w:p>
    <w:p>
      <w:pPr>
        <w:pStyle w:val="XXX"/>
        <w:numPr>
          <w:ilvl w:val="2"/>
          <w:numId w:val="9"/>
        </w:numPr>
        <w:tabs>
          <w:tab w:val="left" w:pos="851" w:leader="none"/>
        </w:tabs>
        <w:ind w:left="851" w:right="0" w:hanging="851"/>
        <w:rPr/>
      </w:pPr>
      <w:bookmarkStart w:id="100" w:name="_Toc249169485"/>
      <w:bookmarkStart w:id="101" w:name="_Toc238972665"/>
      <w:bookmarkStart w:id="102" w:name="_Toc238971499"/>
      <w:bookmarkStart w:id="103" w:name="__RefHeading__1200_890730114"/>
      <w:bookmarkStart w:id="104" w:name="_Toc455734197"/>
      <w:bookmarkStart w:id="105" w:name="_Toc413926830"/>
      <w:bookmarkEnd w:id="100"/>
      <w:bookmarkEnd w:id="101"/>
      <w:bookmarkEnd w:id="102"/>
      <w:bookmarkEnd w:id="103"/>
      <w:bookmarkEnd w:id="104"/>
      <w:bookmarkEnd w:id="105"/>
      <w:r>
        <w:rPr/>
        <w:t>Elektrilöögivastane kaitse ja maanduspaigaldis</w:t>
      </w:r>
    </w:p>
    <w:p>
      <w:pPr>
        <w:pStyle w:val="Normal"/>
        <w:jc w:val="both"/>
        <w:rPr/>
      </w:pPr>
      <w:r>
        <w:rPr/>
        <w:t>Elektrilöögivastane kaitse vastavalt standardile EVS-HD 60364-4-41:2007 „Ehitiste Elektripaigaldised osa 4-4: Kaitseviisid. Kaitse elektrilöögi eest“ jaguneb põhikaitseks, rikkekaitseks ja lisakaitseks. Elektriohutuse tagamiseks antud hoones kasutatakse järgmisi kaitseviise:</w:t>
      </w:r>
    </w:p>
    <w:p>
      <w:pPr>
        <w:pStyle w:val="Normal"/>
        <w:jc w:val="both"/>
        <w:rPr/>
      </w:pPr>
      <w:r>
        <w:rPr/>
        <w:t>•</w:t>
      </w:r>
      <w:r>
        <w:rPr/>
        <w:tab/>
        <w:t>Elektrilöögivastane kaitse otsepuute eest (põhikaitse) tagatakse elektriseadmete kasutamisega, mille pingestatud osad on kaetud vähemalt põhiisolatsiooniga ja/või mille katete ja ümbriste kaitseaste on vähemalt IPXXB või IP2X.</w:t>
      </w:r>
    </w:p>
    <w:p>
      <w:pPr>
        <w:pStyle w:val="Normal"/>
        <w:jc w:val="both"/>
        <w:rPr/>
      </w:pPr>
      <w:r>
        <w:rPr/>
        <w:t>•</w:t>
      </w:r>
      <w:r>
        <w:rPr/>
        <w:tab/>
        <w:t>Elektrilöögivastaseks kaudpuutekaitseks (rikkekaitseks) on rakendatud toite automaatsel kiirel väljalülitamisel põhinevat kaitseviisi (liinikaitselülitid), kaitsemaandust ja potentsiaaliühtlustust. Lubatud puutepinge paigaldises ei tohi ületada 50 V.</w:t>
      </w:r>
    </w:p>
    <w:p>
      <w:pPr>
        <w:pStyle w:val="Normal"/>
        <w:jc w:val="both"/>
        <w:rPr/>
      </w:pPr>
      <w:r>
        <w:rPr/>
        <w:t>•</w:t>
      </w:r>
      <w:r>
        <w:rPr/>
        <w:tab/>
        <w:t>Lisakaitsevõttena rakendatakse rikkevoolukaitselüliteid.</w:t>
      </w:r>
    </w:p>
    <w:p>
      <w:pPr>
        <w:pStyle w:val="Normal"/>
        <w:jc w:val="both"/>
        <w:rPr/>
      </w:pPr>
      <w:r>
        <w:rPr/>
        <w:t>Kõikidesse jaotuskeskustesse on ette nähtud turvalülitina toimivad pealülitid.</w:t>
      </w:r>
    </w:p>
    <w:p>
      <w:pPr>
        <w:pStyle w:val="Normal"/>
        <w:jc w:val="both"/>
        <w:rPr/>
      </w:pPr>
      <w:r>
        <w:rPr>
          <w:highlight w:val="yellow"/>
        </w:rPr>
        <w:t>Peakilpi paigaldatakse peamaanduslatt</w:t>
      </w:r>
      <w:r>
        <w:rPr/>
        <w:t xml:space="preserve"> ja ühendatakse kokku hoone maanduspaigalisega. Potentsiaalide ühtlustamiseks ühendada kokku, peamaanduslatt, hoone kõik pingealtid metallkonstruktsioonid (veemõõdusõlm, juhtivad kütte ja ventilatsiooni torud ning muud pingealtid juhtivad konstruktsioonid) isoleeritud vaskjuhtme (ka toitekaablite PE-soonte) abil. Kõik hoone metallkonstruktsioonid maandada.</w:t>
      </w:r>
    </w:p>
    <w:p>
      <w:pPr>
        <w:pStyle w:val="Normal"/>
        <w:jc w:val="both"/>
        <w:rPr/>
      </w:pPr>
      <w:r>
        <w:rPr/>
        <w:t>Nõrkvoolukeskuste ja muude nõrkvooluseadmete maandused tehakse vastavalt seadmete kasutusjuhenditele, üldjuhul juhtmega MKEM6KEVI.</w:t>
      </w:r>
    </w:p>
    <w:p>
      <w:pPr>
        <w:pStyle w:val="Normal"/>
        <w:jc w:val="both"/>
        <w:rPr/>
      </w:pPr>
      <w:r>
        <w:rPr/>
        <w:t>Hoone madalpinge- ja nõrkvoolupaigaldistel nähakse ette ühine maandusseade maandustakistusega Rm ≤ 30 Ω.</w:t>
      </w:r>
    </w:p>
    <w:p>
      <w:pPr>
        <w:pStyle w:val="XXu"/>
        <w:numPr>
          <w:ilvl w:val="1"/>
          <w:numId w:val="9"/>
        </w:numPr>
        <w:tabs>
          <w:tab w:val="left" w:pos="851" w:leader="none"/>
        </w:tabs>
        <w:spacing w:before="240" w:after="240"/>
        <w:ind w:left="851" w:right="0" w:hanging="851"/>
        <w:rPr/>
      </w:pPr>
      <w:bookmarkStart w:id="106" w:name="__RefHeading__1202_890730114"/>
      <w:bookmarkStart w:id="107" w:name="_Toc437354891"/>
      <w:bookmarkStart w:id="108" w:name="_Toc401072107"/>
      <w:bookmarkStart w:id="109" w:name="_Toc372218363"/>
      <w:bookmarkStart w:id="110" w:name="_Toc343852414"/>
      <w:bookmarkEnd w:id="106"/>
      <w:bookmarkEnd w:id="107"/>
      <w:bookmarkEnd w:id="108"/>
      <w:bookmarkEnd w:id="109"/>
      <w:bookmarkEnd w:id="110"/>
      <w:r>
        <w:rPr/>
        <w:t>ELEKTRITÖÖDE TEOSTAMINE</w:t>
      </w:r>
    </w:p>
    <w:p>
      <w:pPr>
        <w:pStyle w:val="XXX"/>
        <w:numPr>
          <w:ilvl w:val="2"/>
          <w:numId w:val="9"/>
        </w:numPr>
        <w:tabs>
          <w:tab w:val="left" w:pos="851" w:leader="none"/>
        </w:tabs>
        <w:ind w:left="851" w:right="0" w:hanging="851"/>
        <w:rPr/>
      </w:pPr>
      <w:bookmarkStart w:id="111" w:name="__RefHeading__1204_890730114"/>
      <w:bookmarkStart w:id="112" w:name="_Toc437354892"/>
      <w:bookmarkStart w:id="113" w:name="_Toc401072108"/>
      <w:bookmarkStart w:id="114" w:name="_Toc372218364"/>
      <w:bookmarkStart w:id="115" w:name="_Toc343852415"/>
      <w:bookmarkEnd w:id="111"/>
      <w:bookmarkEnd w:id="112"/>
      <w:bookmarkEnd w:id="113"/>
      <w:bookmarkEnd w:id="114"/>
      <w:bookmarkEnd w:id="115"/>
      <w:r>
        <w:rPr/>
        <w:t>Üldist</w:t>
      </w:r>
    </w:p>
    <w:p>
      <w:pPr>
        <w:pStyle w:val="Normal"/>
        <w:jc w:val="both"/>
        <w:rPr/>
      </w:pPr>
      <w:r>
        <w:rPr/>
        <w:t xml:space="preserve">Elektritööde teostamisel tuleb lähtuda Eesti Vabariigi kehtivatest õigusaktidest, sealhulgas </w:t>
      </w:r>
      <w:r>
        <w:rPr>
          <w:bCs/>
          <w:szCs w:val="24"/>
        </w:rPr>
        <w:t>„Elektriohutusseadus“ 5. peatükist,</w:t>
      </w:r>
      <w:r>
        <w:rPr/>
        <w:t xml:space="preserve"> juhinduda Eesti Standardikeskuse poolt välja antud ehitusvaldkonna standarditest ja juhendmaterjalidest (EVS) ning </w:t>
      </w:r>
      <w:r>
        <w:rPr>
          <w:szCs w:val="24"/>
        </w:rPr>
        <w:t>EE JV võrgustandardist</w:t>
      </w:r>
      <w:r>
        <w:rPr/>
        <w:t>. Rangelt järgida töötervishoiu, tööohutus ja elektriohutusnõudeid juhindudes “Töötervishoiu ja tööohutuse seadusest“.</w:t>
      </w:r>
    </w:p>
    <w:p>
      <w:pPr>
        <w:pStyle w:val="Normal"/>
        <w:jc w:val="both"/>
        <w:rPr/>
      </w:pPr>
      <w:r>
        <w:rPr/>
        <w:t>Elektritöid tohib teha ettevõte, kes on registreeritud Majandus- ja kommunikatsiooniministeeriumi majandustegevuse registrisse (MTR) tegevusala „Elektritööd“ valdkonnas.</w:t>
      </w:r>
    </w:p>
    <w:p>
      <w:pPr>
        <w:pStyle w:val="Normal"/>
        <w:jc w:val="both"/>
        <w:rPr/>
      </w:pPr>
      <w:r>
        <w:rPr/>
        <w:t>Töövõtja on kohustatud teostama töö esmaklassiliselt, kasutades kvalifitseeritud ja usaldusväärset tööjõudu, omades selleks vastavaid vahendeid teadmisi ning kogemusi. Juhul kui töö omapära seda nõuab, tuleb kasutada abiks spetsialiseeritud töövõtjaid. Töövõtja vastutab alltöövõtjate poolt teostatud töö eest nagu enda oma eest. Töö teostamisel tuleb järgida kehtivaid seadusi ja eeskirju, vastava valdkonna avalik-õiguslikke määrusi ning lepinguid.</w:t>
      </w:r>
    </w:p>
    <w:p>
      <w:pPr>
        <w:pStyle w:val="XXX"/>
        <w:numPr>
          <w:ilvl w:val="2"/>
          <w:numId w:val="9"/>
        </w:numPr>
        <w:tabs>
          <w:tab w:val="left" w:pos="851" w:leader="none"/>
        </w:tabs>
        <w:ind w:left="851" w:right="0" w:hanging="851"/>
        <w:rPr/>
      </w:pPr>
      <w:bookmarkStart w:id="116" w:name="__RefHeading__1206_890730114"/>
      <w:bookmarkStart w:id="117" w:name="_Toc437354893"/>
      <w:bookmarkStart w:id="118" w:name="_Toc401072109"/>
      <w:bookmarkStart w:id="119" w:name="_Toc372218365"/>
      <w:bookmarkStart w:id="120" w:name="_Toc343852416"/>
      <w:bookmarkEnd w:id="116"/>
      <w:bookmarkEnd w:id="117"/>
      <w:bookmarkEnd w:id="118"/>
      <w:bookmarkEnd w:id="119"/>
      <w:bookmarkEnd w:id="120"/>
      <w:r>
        <w:rPr/>
        <w:t>Töövõtu ulatus</w:t>
      </w:r>
    </w:p>
    <w:p>
      <w:pPr>
        <w:pStyle w:val="Normal"/>
        <w:jc w:val="both"/>
        <w:rPr/>
      </w:pPr>
      <w:r>
        <w:rPr/>
        <w:t>Töövõtja on tööde teostamiseks kohustatud tellijaga kokku leppima ajakava ja sellest kinni pidama, järgides töövõtulepingu tingimusi.</w:t>
      </w:r>
    </w:p>
    <w:p>
      <w:pPr>
        <w:pStyle w:val="Normal"/>
        <w:jc w:val="both"/>
        <w:rPr/>
      </w:pPr>
      <w:r>
        <w:rPr/>
        <w:t>Töövõtt sisaldab elektripaigaldise seletuskirjas teemade kaupa loetletud töid ning teistes käesoleva projekti dokumentides toodud elektriseadmete, liinide, aparaatide, süsteemide hankimist ja täielikult töökorda paigaldamist, juhul kui töövõtu kohta ei ole eraldi vormistatud dokumenti ja va tööd, mis lahendatakse eraldi vastava eriala tehnoloogide poolt. Mainitud eripaigaldistele tagatakse nõuetekohane toide, vajadusel juhtimine ja kasutuskorda reguleerimine.</w:t>
      </w:r>
    </w:p>
    <w:p>
      <w:pPr>
        <w:pStyle w:val="Normal"/>
        <w:jc w:val="both"/>
        <w:rPr/>
      </w:pPr>
      <w:r>
        <w:rPr/>
        <w:t>Töövõttu kuulub kõikide vajalike avade tegemine konstruktsioonidesse ja nende avade paigaldustööde järgne nõuetekohane sulgemine.</w:t>
      </w:r>
    </w:p>
    <w:p>
      <w:pPr>
        <w:pStyle w:val="Normal"/>
        <w:jc w:val="both"/>
        <w:rPr/>
      </w:pPr>
      <w:r>
        <w:rPr/>
        <w:t>Töövõttu kuulub automaatika kaablite ja nõrkvoolu kaabliredelite paigaldamine. Automaatika kaablite maht on toodud automaatikaprojektis. Nõrkvoolu kaabliredelid on antud tugevvoolu projekti mahus.</w:t>
      </w:r>
    </w:p>
    <w:p>
      <w:pPr>
        <w:pStyle w:val="Normal"/>
        <w:jc w:val="both"/>
        <w:rPr/>
      </w:pPr>
      <w:r>
        <w:rPr/>
        <w:t>Töövõtja peab arvestama kõigi vajalike materjalide ja toimingutega projektis kajastatud lahenduste väljaehitamiseks ka siis, kui need ei ole otseselt esitatud käesoleva projekti joonistel ja selgitustes, kuid mis on vajalikud tööde normaalseks teostamiseks ning süsteemi normaalseks funktsioneerimiseks pärast ehitustöid.</w:t>
      </w:r>
    </w:p>
    <w:p>
      <w:pPr>
        <w:pStyle w:val="Normal"/>
        <w:jc w:val="both"/>
        <w:rPr/>
      </w:pPr>
      <w:r>
        <w:rPr/>
        <w:t>Kõik vajalikud ametkondade ja ehitustööde tellija poolt nõutud kontrollimisprotseduurid (s.h valgustuse mõõtmiste, Päästeameti vahe- ja lõppkontrollimise) teostab töövõtja oma kuludega. Töövõtja on kohustatud kindlustama kõikide kontrollide jaoks vajalikud töövahendid, mõõteaparatuuri ning abipersonali.</w:t>
      </w:r>
    </w:p>
    <w:p>
      <w:pPr>
        <w:pStyle w:val="Normal"/>
        <w:jc w:val="both"/>
        <w:rPr/>
      </w:pPr>
      <w:r>
        <w:rPr/>
        <w:t>Pärast ehitustööde teostamist tuleb ehitajal koostada elektripaigaldise teostusdokumentatsioon ja käidujuhend. Teostusjoonised peavad vastama ehitusprojektile esitatavatele nõuetele, mis on toodud standardis EVS 811:2006 „Hoone projekt“.</w:t>
      </w:r>
    </w:p>
    <w:p>
      <w:pPr>
        <w:pStyle w:val="XXX"/>
        <w:numPr>
          <w:ilvl w:val="2"/>
          <w:numId w:val="9"/>
        </w:numPr>
        <w:tabs>
          <w:tab w:val="left" w:pos="851" w:leader="none"/>
        </w:tabs>
        <w:ind w:left="851" w:right="0" w:hanging="851"/>
        <w:rPr/>
      </w:pPr>
      <w:bookmarkStart w:id="121" w:name="__RefHeading__1208_890730114"/>
      <w:bookmarkStart w:id="122" w:name="_Toc437354894"/>
      <w:bookmarkStart w:id="123" w:name="_Toc401072110"/>
      <w:bookmarkStart w:id="124" w:name="_Toc372218366"/>
      <w:bookmarkStart w:id="125" w:name="_Toc343852417"/>
      <w:bookmarkEnd w:id="121"/>
      <w:bookmarkEnd w:id="122"/>
      <w:bookmarkEnd w:id="123"/>
      <w:bookmarkEnd w:id="124"/>
      <w:bookmarkEnd w:id="125"/>
      <w:r>
        <w:rPr/>
        <w:t>Seadmete ja materjalide valik ja paigaldus</w:t>
      </w:r>
    </w:p>
    <w:p>
      <w:pPr>
        <w:pStyle w:val="Normal"/>
        <w:jc w:val="both"/>
        <w:rPr/>
      </w:pPr>
      <w:r>
        <w:rPr/>
        <w:t>Töövõtja peab kinnitama ehitustööde ajal kokku lepitava ajakava kohaselt tellija juures kõik seadmed ja materjalid, mis ei ole projektis üheselt määratud. Kinnitamiseks peab töövõtja esitama tellijale vajalikud andmed toote kohta, muuhulgas:</w:t>
      </w:r>
    </w:p>
    <w:p>
      <w:pPr>
        <w:pStyle w:val="Normal"/>
        <w:numPr>
          <w:ilvl w:val="0"/>
          <w:numId w:val="8"/>
        </w:numPr>
        <w:suppressAutoHyphens w:val="true"/>
        <w:spacing w:before="120" w:after="120"/>
        <w:jc w:val="both"/>
        <w:rPr/>
      </w:pPr>
      <w:r>
        <w:rPr/>
        <w:t>lõpuni viimistletud pinnaga toodete värvitoonid, kinnitatakse arhitekti/sisekujundaja juures</w:t>
      </w:r>
    </w:p>
    <w:p>
      <w:pPr>
        <w:pStyle w:val="Normal"/>
        <w:numPr>
          <w:ilvl w:val="0"/>
          <w:numId w:val="8"/>
        </w:numPr>
        <w:suppressAutoHyphens w:val="true"/>
        <w:spacing w:before="120" w:after="120"/>
        <w:jc w:val="both"/>
        <w:rPr/>
      </w:pPr>
      <w:r>
        <w:rPr/>
        <w:t>andmed hooldamise kohta;</w:t>
      </w:r>
    </w:p>
    <w:p>
      <w:pPr>
        <w:pStyle w:val="Normal"/>
        <w:numPr>
          <w:ilvl w:val="0"/>
          <w:numId w:val="8"/>
        </w:numPr>
        <w:suppressAutoHyphens w:val="true"/>
        <w:spacing w:before="120" w:after="120"/>
        <w:jc w:val="both"/>
        <w:rPr/>
      </w:pPr>
      <w:r>
        <w:rPr/>
        <w:t>ametivõimude (kasutus-) kinnitusdokumendid.</w:t>
      </w:r>
    </w:p>
    <w:p>
      <w:pPr>
        <w:pStyle w:val="Normal"/>
        <w:jc w:val="both"/>
        <w:rPr/>
      </w:pPr>
      <w:r>
        <w:rPr/>
        <w:t>Sama kasutusalaga ja sama tüüpi tooteid tuleb valida, kui see on võimalik, ühe ja sama valmistaja toodete hulgast.</w:t>
      </w:r>
    </w:p>
    <w:p>
      <w:pPr>
        <w:pStyle w:val="XXX"/>
        <w:numPr>
          <w:ilvl w:val="2"/>
          <w:numId w:val="9"/>
        </w:numPr>
        <w:tabs>
          <w:tab w:val="left" w:pos="851" w:leader="none"/>
        </w:tabs>
        <w:ind w:left="851" w:right="0" w:hanging="851"/>
        <w:rPr/>
      </w:pPr>
      <w:bookmarkStart w:id="126" w:name="__RefHeading__1210_890730114"/>
      <w:bookmarkStart w:id="127" w:name="_Toc437354895"/>
      <w:bookmarkStart w:id="128" w:name="_Toc401072111"/>
      <w:bookmarkStart w:id="129" w:name="_Toc372218367"/>
      <w:bookmarkStart w:id="130" w:name="_Toc343852418"/>
      <w:bookmarkStart w:id="131" w:name="_Toc238972675"/>
      <w:bookmarkStart w:id="132" w:name="_Toc238971510"/>
      <w:bookmarkEnd w:id="126"/>
      <w:bookmarkEnd w:id="127"/>
      <w:bookmarkEnd w:id="128"/>
      <w:bookmarkEnd w:id="129"/>
      <w:bookmarkEnd w:id="130"/>
      <w:bookmarkEnd w:id="131"/>
      <w:bookmarkEnd w:id="132"/>
      <w:r>
        <w:rPr/>
        <w:t>Nimeliste toodete asendamine analoogidega</w:t>
      </w:r>
    </w:p>
    <w:p>
      <w:pPr>
        <w:pStyle w:val="Normal"/>
        <w:jc w:val="both"/>
        <w:rPr/>
      </w:pPr>
      <w:r>
        <w:rPr/>
        <w:t>Töövõtja peab tagama seadmete/materjalide vastavuse projektis näidatule nii tehniliste näitajate kui ka kvaliteeditaseme osas ja saama oma ettepanekule tellija kinnituse iga toote kohta eraldi. Vastutus tootevalikust ja vahetusest põhjustatud tagajärgede eest, nt. valgustite puhul projektis esitatud valgustustehniliste parameetrite tagamisel jääb täies ulatuses töövõtjale.</w:t>
      </w:r>
    </w:p>
    <w:p>
      <w:pPr>
        <w:pStyle w:val="XXX"/>
        <w:numPr>
          <w:ilvl w:val="2"/>
          <w:numId w:val="9"/>
        </w:numPr>
        <w:tabs>
          <w:tab w:val="left" w:pos="851" w:leader="none"/>
        </w:tabs>
        <w:ind w:left="851" w:right="0" w:hanging="851"/>
        <w:rPr/>
      </w:pPr>
      <w:bookmarkStart w:id="133" w:name="__RefHeading__1212_890730114"/>
      <w:bookmarkStart w:id="134" w:name="_Toc437354896"/>
      <w:bookmarkStart w:id="135" w:name="_Toc401072112"/>
      <w:bookmarkStart w:id="136" w:name="_Toc372218368"/>
      <w:bookmarkStart w:id="137" w:name="_Toc343852419"/>
      <w:bookmarkStart w:id="138" w:name="_Toc238972677"/>
      <w:bookmarkStart w:id="139" w:name="_Toc238971512"/>
      <w:bookmarkEnd w:id="133"/>
      <w:bookmarkEnd w:id="134"/>
      <w:bookmarkEnd w:id="135"/>
      <w:bookmarkEnd w:id="136"/>
      <w:bookmarkEnd w:id="137"/>
      <w:bookmarkEnd w:id="138"/>
      <w:bookmarkEnd w:id="139"/>
      <w:r>
        <w:rPr/>
        <w:t>Ehituseaegsed paigaldusjoonised</w:t>
      </w:r>
    </w:p>
    <w:p>
      <w:pPr>
        <w:pStyle w:val="Normal"/>
        <w:jc w:val="both"/>
        <w:rPr/>
      </w:pPr>
      <w:r>
        <w:rPr/>
        <w:t>Eri süsteemide ja seadmete paigaldustööde võtjad kooskõlastavad omavahel ja lepivad kokku ruumide ja ruumide seinte, lagede ja põrandate pindade kasutamises ning kanalite, torustike, kaablirennide ja –trasside jms. paigalduses ja ristumiskohtades. Samuti tuleb kooskõlastada töövõtjate poolt omavalmistatavate või alltöövõtu korras tellitavate seadmete, nt. jaotuskeskused, paigalduskohad ja mõõdud, sh. vajalike seina niššide asukohad ja mõõdud. Kokkulepped vormistatakse alusplaanide, vajalike lõigete ja sõlmede joonistena. Joonised koostanud töövõtja kinnitab nad projekteerija ja Tellija juures ning hoolitseb jooniste ringluse ja täienduste kogumise eest teiste töövõtjate juures, kinnitab valmis joonised kõikide osapoolte juures ja paljundab kokku lepitud ajakava alusel.</w:t>
      </w:r>
    </w:p>
    <w:p>
      <w:pPr>
        <w:pStyle w:val="XXX"/>
        <w:numPr>
          <w:ilvl w:val="2"/>
          <w:numId w:val="9"/>
        </w:numPr>
        <w:tabs>
          <w:tab w:val="left" w:pos="851" w:leader="none"/>
        </w:tabs>
        <w:ind w:left="851" w:right="0" w:hanging="851"/>
        <w:rPr/>
      </w:pPr>
      <w:bookmarkStart w:id="140" w:name="__RefHeading__1214_890730114"/>
      <w:bookmarkStart w:id="141" w:name="_Toc437354897"/>
      <w:bookmarkStart w:id="142" w:name="_Toc401072113"/>
      <w:bookmarkStart w:id="143" w:name="_Toc372218369"/>
      <w:bookmarkStart w:id="144" w:name="_Toc343852420"/>
      <w:bookmarkStart w:id="145" w:name="_Toc238972679"/>
      <w:bookmarkStart w:id="146" w:name="_Toc238971514"/>
      <w:bookmarkEnd w:id="140"/>
      <w:bookmarkEnd w:id="141"/>
      <w:bookmarkEnd w:id="142"/>
      <w:bookmarkEnd w:id="143"/>
      <w:bookmarkEnd w:id="144"/>
      <w:bookmarkEnd w:id="145"/>
      <w:bookmarkEnd w:id="146"/>
      <w:r>
        <w:rPr/>
        <w:t>Seadmete tunnussildid ja –markeering</w:t>
      </w:r>
    </w:p>
    <w:p>
      <w:pPr>
        <w:pStyle w:val="Normal"/>
        <w:jc w:val="both"/>
        <w:rPr/>
      </w:pPr>
      <w:r>
        <w:rPr/>
        <w:t>Seadmete tunnussildid ja markeering on eestikeelsed.</w:t>
      </w:r>
    </w:p>
    <w:p>
      <w:pPr>
        <w:pStyle w:val="Normal"/>
        <w:jc w:val="both"/>
        <w:rPr/>
      </w:pPr>
      <w:r>
        <w:rPr/>
        <w:t>Tunnussiltidega varustatakse kõik jaotuskeskused, samuti eri süsteemide koosseisu kuuluvad ja eraldi paigaldatavad juhtimispuldid, reguleerimisseadmed, andurid jm komponendid.</w:t>
      </w:r>
    </w:p>
    <w:p>
      <w:pPr>
        <w:pStyle w:val="Normal"/>
        <w:jc w:val="both"/>
        <w:rPr/>
      </w:pPr>
      <w:r>
        <w:rPr/>
        <w:t>Tunnussildile märgitakse seadmete tehnoloogilise eriosa ja automaatikaprojektiga näidatud süsteemi ja selle iga eraldi paigaldatava osa tähis või nimetus.</w:t>
      </w:r>
    </w:p>
    <w:p>
      <w:pPr>
        <w:pStyle w:val="Normal"/>
        <w:jc w:val="both"/>
        <w:rPr/>
      </w:pPr>
      <w:r>
        <w:rPr/>
        <w:t>Kõik magistraalkaablid peavad olema markeeritud. Markeering kinnitatakse kaablile jaotuskeskusesse sisenemisel ja väljumisel ja ühenduskohtades seadmetega, kaabliredelitel kaabli suunamuutusel.</w:t>
      </w:r>
    </w:p>
    <w:p>
      <w:pPr>
        <w:pStyle w:val="X"/>
        <w:numPr>
          <w:ilvl w:val="0"/>
          <w:numId w:val="9"/>
        </w:numPr>
        <w:rPr/>
      </w:pPr>
      <w:bookmarkStart w:id="147" w:name="__RefHeading__1216_890730114"/>
      <w:bookmarkStart w:id="148" w:name="_Toc455734198"/>
      <w:bookmarkStart w:id="149" w:name="_Toc413926831"/>
      <w:bookmarkStart w:id="150" w:name="_Toc346620087"/>
      <w:bookmarkEnd w:id="147"/>
      <w:r>
        <w:rPr/>
        <w:t>N</w:t>
      </w:r>
      <w:bookmarkEnd w:id="149"/>
      <w:bookmarkEnd w:id="150"/>
      <w:bookmarkEnd w:id="148"/>
      <w:r>
        <w:rPr/>
        <w:t>õrkvoolupaigaldis</w:t>
      </w:r>
    </w:p>
    <w:p>
      <w:pPr>
        <w:pStyle w:val="XXu"/>
        <w:numPr>
          <w:ilvl w:val="1"/>
          <w:numId w:val="9"/>
        </w:numPr>
        <w:tabs>
          <w:tab w:val="left" w:pos="851" w:leader="none"/>
        </w:tabs>
        <w:spacing w:before="240" w:after="120"/>
        <w:ind w:left="851" w:right="0" w:hanging="851"/>
        <w:rPr/>
      </w:pPr>
      <w:bookmarkStart w:id="151" w:name="__RefHeading__1218_890730114"/>
      <w:bookmarkStart w:id="152" w:name="_Toc455734199"/>
      <w:bookmarkEnd w:id="151"/>
      <w:bookmarkEnd w:id="152"/>
      <w:r>
        <w:rPr/>
        <w:t>Olemasolev</w:t>
      </w:r>
    </w:p>
    <w:p>
      <w:pPr>
        <w:pStyle w:val="Normal"/>
        <w:jc w:val="both"/>
        <w:rPr/>
      </w:pPr>
      <w:r>
        <w:rPr/>
        <w:t xml:space="preserve">Kinnistul on toimiv maakaabelliiniga sideühendus Telia sidevõrguga. </w:t>
      </w:r>
    </w:p>
    <w:p>
      <w:pPr>
        <w:pStyle w:val="XXu"/>
        <w:numPr>
          <w:ilvl w:val="1"/>
          <w:numId w:val="9"/>
        </w:numPr>
        <w:tabs>
          <w:tab w:val="left" w:pos="851" w:leader="none"/>
        </w:tabs>
        <w:spacing w:before="240" w:after="120"/>
        <w:ind w:left="851" w:right="0" w:hanging="851"/>
        <w:rPr/>
      </w:pPr>
      <w:bookmarkStart w:id="153" w:name="__RefHeading__1220_890730114"/>
      <w:bookmarkStart w:id="154" w:name="_Toc455734200"/>
      <w:bookmarkStart w:id="155" w:name="_Toc413926832"/>
      <w:bookmarkStart w:id="156" w:name="_Toc346620088"/>
      <w:bookmarkEnd w:id="153"/>
      <w:bookmarkEnd w:id="154"/>
      <w:bookmarkEnd w:id="155"/>
      <w:bookmarkEnd w:id="156"/>
      <w:r>
        <w:rPr/>
        <w:t>Üldiseloomustus</w:t>
      </w:r>
    </w:p>
    <w:p>
      <w:pPr>
        <w:pStyle w:val="Normal"/>
        <w:jc w:val="both"/>
        <w:rPr/>
      </w:pPr>
      <w:r>
        <w:rPr/>
        <w:t>Olemasolev nõrkvoolupaigaldis hoones asendatakse uuega vastavalt käesolevale projektile. Nõrkvoolusüsteemid peavad olema teostatud selliselt, et seadmed ei ohustaks hooldus- ja remonditöödel töötavaid isikuid, s.t. et oleks välistatud tahtmatu 230 V toiteosade puudutamine.</w:t>
      </w:r>
    </w:p>
    <w:p>
      <w:pPr>
        <w:pStyle w:val="Normal"/>
        <w:jc w:val="both"/>
        <w:rPr/>
      </w:pPr>
      <w:r>
        <w:rPr/>
        <w:t>Tahtmatu puudutamine loetakse välistatuks, kui toiteosade puudutamine on võimatu kaitsekatteid avamata või muid abivahendeid kasutamata.</w:t>
      </w:r>
    </w:p>
    <w:p>
      <w:pPr>
        <w:pStyle w:val="Normal"/>
        <w:tabs>
          <w:tab w:val="left" w:pos="426" w:leader="none"/>
          <w:tab w:val="left" w:pos="851" w:leader="none"/>
          <w:tab w:val="left" w:pos="1418" w:leader="none"/>
          <w:tab w:val="left" w:pos="2268" w:leader="none"/>
          <w:tab w:val="left" w:pos="2835" w:leader="none"/>
          <w:tab w:val="left" w:pos="4536" w:leader="none"/>
          <w:tab w:val="left" w:pos="8931" w:leader="none"/>
        </w:tabs>
        <w:jc w:val="both"/>
        <w:rPr/>
      </w:pPr>
      <w:r>
        <w:rPr/>
        <w:t>Kõik kaablid, ühenduskarbid ja muud seadmed tähistatakse. Tähistused tuuakse ära tööprojektis ning teostusjoonistel.</w:t>
      </w:r>
    </w:p>
    <w:p>
      <w:pPr>
        <w:pStyle w:val="Normal"/>
        <w:jc w:val="both"/>
        <w:rPr/>
      </w:pPr>
      <w:r>
        <w:rPr/>
        <w:t>Tuleb jälgida, et ruumi paigaldatavad seadmed vastaksid ruumi keskkonnatingimustele (kaitseaste, plahvatusoht jne).</w:t>
      </w:r>
    </w:p>
    <w:p>
      <w:pPr>
        <w:pStyle w:val="Normal"/>
        <w:jc w:val="both"/>
        <w:rPr/>
      </w:pPr>
      <w:r>
        <w:rPr/>
        <w:t xml:space="preserve">Hoonesse kavandatavate tehnosüsteemide eluiga peab olema vähemalt nii pikk kui seda kehtestavad üldtunnustatud ehitusreeglid ehk hea ehitustava. </w:t>
      </w:r>
    </w:p>
    <w:p>
      <w:pPr>
        <w:pStyle w:val="Normal"/>
        <w:jc w:val="both"/>
        <w:rPr/>
      </w:pPr>
      <w:r>
        <w:rPr/>
        <w:t>Tehnosüsteemi eluiga tagatakse vastupidavate materjalide valikuga, kvaliteetse ehitustöö  ning korraliste hooldustöödega ekspluatatsioonis.</w:t>
      </w:r>
    </w:p>
    <w:p>
      <w:pPr>
        <w:pStyle w:val="Seletus"/>
        <w:ind w:left="0" w:right="0" w:hanging="0"/>
        <w:jc w:val="both"/>
        <w:rPr>
          <w:rFonts w:ascii="Calibri" w:hAnsi="Calibri"/>
          <w:sz w:val="22"/>
          <w:szCs w:val="22"/>
        </w:rPr>
      </w:pPr>
      <w:r>
        <w:rPr>
          <w:rFonts w:ascii="Calibri" w:hAnsi="Calibri"/>
          <w:sz w:val="22"/>
          <w:szCs w:val="22"/>
        </w:rPr>
        <w:t xml:space="preserve">Nõrkvoolusüsteemid ehitatakse välja tööprojekti alusel. Tööprojekti koostaja ja nõrkvoolusüsteemide paigaldaja peavad omama vastavaid majandus- ja kommunikatsiooniministeeriumi tegevusalade registreeringuid. </w:t>
      </w:r>
    </w:p>
    <w:p>
      <w:pPr>
        <w:pStyle w:val="Seletus"/>
        <w:ind w:left="0" w:right="0" w:hanging="0"/>
        <w:jc w:val="both"/>
        <w:rPr>
          <w:rFonts w:ascii="Calibri" w:hAnsi="Calibri"/>
          <w:sz w:val="22"/>
          <w:szCs w:val="22"/>
        </w:rPr>
      </w:pPr>
      <w:r>
        <w:rPr>
          <w:rFonts w:ascii="Calibri" w:hAnsi="Calibri"/>
          <w:sz w:val="22"/>
          <w:szCs w:val="22"/>
        </w:rPr>
        <w:t xml:space="preserve">Nõrkvoolu töövõttu kuuluvad kõik ametlikud kooskõlastused, sealhulgas tellija esindajaga. </w:t>
      </w:r>
    </w:p>
    <w:p>
      <w:pPr>
        <w:pStyle w:val="Seletus"/>
        <w:ind w:left="0" w:right="0" w:hanging="0"/>
        <w:jc w:val="both"/>
        <w:rPr>
          <w:rFonts w:ascii="Calibri" w:hAnsi="Calibri"/>
          <w:sz w:val="22"/>
          <w:szCs w:val="22"/>
        </w:rPr>
      </w:pPr>
      <w:r>
        <w:rPr>
          <w:rFonts w:ascii="Calibri" w:hAnsi="Calibri"/>
          <w:sz w:val="22"/>
          <w:szCs w:val="22"/>
        </w:rPr>
        <w:t>Nõrkvoolutööde teostaja varustab tellija esindaja süsteemi kasutus- ja hooldusjuhenditega, korraldab süsteemi ekspluatatsiooniks vajaliku koolituse ning viib läbi vajalikud kontrollmõõtmised ja testid. Töö üleandmisel annab töövõtja üle ka vastavad teostusjoonised ning testide tulemused.</w:t>
      </w:r>
    </w:p>
    <w:p>
      <w:pPr>
        <w:pStyle w:val="XXu"/>
        <w:numPr>
          <w:ilvl w:val="1"/>
          <w:numId w:val="9"/>
        </w:numPr>
        <w:tabs>
          <w:tab w:val="left" w:pos="851" w:leader="none"/>
        </w:tabs>
        <w:spacing w:before="240" w:after="120"/>
        <w:ind w:left="851" w:right="0" w:hanging="851"/>
        <w:rPr/>
      </w:pPr>
      <w:bookmarkStart w:id="157" w:name="__RefHeading__1222_890730114"/>
      <w:bookmarkStart w:id="158" w:name="_Toc437354871"/>
      <w:bookmarkEnd w:id="157"/>
      <w:bookmarkEnd w:id="158"/>
      <w:r>
        <w:rPr/>
        <w:t>Sidevarustuse tüüp ja läbilaskevõime</w:t>
      </w:r>
    </w:p>
    <w:p>
      <w:pPr>
        <w:pStyle w:val="Normal"/>
        <w:spacing w:before="120" w:after="120"/>
        <w:jc w:val="both"/>
        <w:rPr>
          <w:szCs w:val="24"/>
        </w:rPr>
      </w:pPr>
      <w:r>
        <w:rPr>
          <w:szCs w:val="24"/>
        </w:rPr>
        <w:t xml:space="preserve">Hoone sisevõrk rajatakse vastavalt Cat6 nõuetele. Kanalilaius tarbijapesas peab olema </w:t>
      </w:r>
      <w:r>
        <w:rPr>
          <w:szCs w:val="24"/>
          <w:highlight w:val="yellow"/>
        </w:rPr>
        <w:t>10</w:t>
      </w:r>
      <w:r>
        <w:rPr>
          <w:szCs w:val="24"/>
        </w:rPr>
        <w:t xml:space="preserve"> Gbit/s. Kõik ühendused pistikupesadele teostatakse kaabliga UTP 4x2x0,5 cat6 ning kasutatakse RJ45 Cat6 pistikupesasid. Jaotlates otsastatakse kogu pistikupesade võrk </w:t>
      </w:r>
      <w:r>
        <w:rPr>
          <w:szCs w:val="24"/>
          <w:highlight w:val="yellow"/>
        </w:rPr>
        <w:t>12xRJ45</w:t>
      </w:r>
      <w:r>
        <w:rPr>
          <w:szCs w:val="24"/>
        </w:rPr>
        <w:t xml:space="preserve"> Cat6 paneelis.</w:t>
      </w:r>
    </w:p>
    <w:p>
      <w:pPr>
        <w:pStyle w:val="XXu"/>
        <w:numPr>
          <w:ilvl w:val="1"/>
          <w:numId w:val="9"/>
        </w:numPr>
        <w:tabs>
          <w:tab w:val="left" w:pos="851" w:leader="none"/>
        </w:tabs>
        <w:spacing w:before="240" w:after="120"/>
        <w:ind w:left="851" w:right="0" w:hanging="851"/>
        <w:rPr/>
      </w:pPr>
      <w:bookmarkStart w:id="159" w:name="__RefHeading__1224_890730114"/>
      <w:bookmarkStart w:id="160" w:name="_Toc437354872"/>
      <w:bookmarkStart w:id="161" w:name="_Toc389224030"/>
      <w:bookmarkStart w:id="162" w:name="_Toc355691919"/>
      <w:bookmarkEnd w:id="159"/>
      <w:bookmarkEnd w:id="160"/>
      <w:bookmarkEnd w:id="161"/>
      <w:bookmarkEnd w:id="162"/>
      <w:r>
        <w:rPr/>
        <w:t>Sidevarustuse seos andmeside, telefoniside ja TV-süsteemidega</w:t>
      </w:r>
    </w:p>
    <w:p>
      <w:pPr>
        <w:pStyle w:val="Normal"/>
        <w:spacing w:before="120" w:after="120"/>
        <w:jc w:val="both"/>
        <w:rPr/>
      </w:pPr>
      <w:r>
        <w:rPr/>
        <w:t xml:space="preserve">Andmesidet, telefonisidet ja TV-süsteemi on võimalik kasutada cat võrgus. </w:t>
      </w:r>
    </w:p>
    <w:p>
      <w:pPr>
        <w:pStyle w:val="XXu"/>
        <w:numPr>
          <w:ilvl w:val="1"/>
          <w:numId w:val="9"/>
        </w:numPr>
        <w:tabs>
          <w:tab w:val="left" w:pos="851" w:leader="none"/>
        </w:tabs>
        <w:spacing w:before="240" w:after="120"/>
        <w:ind w:left="851" w:right="0" w:hanging="851"/>
        <w:rPr/>
      </w:pPr>
      <w:bookmarkStart w:id="163" w:name="__RefHeading__1226_890730114"/>
      <w:bookmarkStart w:id="164" w:name="_Toc437354873"/>
      <w:bookmarkStart w:id="165" w:name="_Toc389224031"/>
      <w:bookmarkStart w:id="166" w:name="_Toc355691920"/>
      <w:bookmarkEnd w:id="163"/>
      <w:bookmarkEnd w:id="164"/>
      <w:bookmarkEnd w:id="165"/>
      <w:bookmarkEnd w:id="166"/>
      <w:r>
        <w:rPr/>
        <w:t>Kaabliteed</w:t>
      </w:r>
    </w:p>
    <w:p>
      <w:pPr>
        <w:pStyle w:val="Normal"/>
        <w:spacing w:before="120" w:after="0"/>
        <w:jc w:val="both"/>
        <w:rPr/>
      </w:pPr>
      <w:r>
        <w:rPr>
          <w:szCs w:val="24"/>
          <w:highlight w:val="yellow"/>
        </w:rPr>
        <w:t>Hoonesisesed kaablivõrgud</w:t>
      </w:r>
      <w:r>
        <w:rPr>
          <w:highlight w:val="yellow"/>
        </w:rPr>
        <w:t xml:space="preserve"> projekteeritakse tehnilistes ruumides ja abiruumides pinnapealselt torudes mujal süvistatult.</w:t>
      </w:r>
      <w:r>
        <w:rPr/>
        <w:t xml:space="preserve"> </w:t>
      </w:r>
    </w:p>
    <w:p>
      <w:pPr>
        <w:pStyle w:val="Normal"/>
        <w:spacing w:before="0" w:after="120"/>
        <w:jc w:val="both"/>
        <w:rPr/>
      </w:pPr>
      <w:r>
        <w:rPr/>
        <w:t>Kõik vajalikud harukarbid paigaldatakse nii, et oleks võimalik nende hilisem teenindamine. Varjatud kohtadesse juurdepääsu tagamata (lagede taha, põrandate alla) harukarpe paigaldada ei tohi.</w:t>
      </w:r>
    </w:p>
    <w:p>
      <w:pPr>
        <w:pStyle w:val="XXu"/>
        <w:numPr>
          <w:ilvl w:val="1"/>
          <w:numId w:val="9"/>
        </w:numPr>
        <w:tabs>
          <w:tab w:val="left" w:pos="851" w:leader="none"/>
        </w:tabs>
        <w:spacing w:before="240" w:after="120"/>
        <w:ind w:left="851" w:right="0" w:hanging="851"/>
        <w:rPr/>
      </w:pPr>
      <w:bookmarkStart w:id="167" w:name="__RefHeading__1228_890730114"/>
      <w:bookmarkStart w:id="168" w:name="_Toc455734201"/>
      <w:bookmarkStart w:id="169" w:name="_Toc413926833"/>
      <w:bookmarkStart w:id="170" w:name="_Toc346620089"/>
      <w:bookmarkEnd w:id="167"/>
      <w:bookmarkEnd w:id="168"/>
      <w:bookmarkEnd w:id="169"/>
      <w:bookmarkEnd w:id="170"/>
      <w:r>
        <w:rPr/>
        <w:t>Andmeside- ja telefonivõrk</w:t>
      </w:r>
    </w:p>
    <w:p>
      <w:pPr>
        <w:pStyle w:val="Normal"/>
        <w:jc w:val="both"/>
        <w:rPr>
          <w:szCs w:val="24"/>
        </w:rPr>
      </w:pPr>
      <w:r>
        <w:rPr/>
        <w:t xml:space="preserve">Arvuti- ja telefonivõrgu kaabeldus peab vastama standardile EN50173 link-class E (250Mhz). </w:t>
      </w:r>
      <w:r>
        <w:rPr>
          <w:szCs w:val="24"/>
        </w:rPr>
        <w:t xml:space="preserve">Kaabeldus tehakse UTP 4x2x0,5 Cat6 tüüpi varjestamata keerupaari kaabliga. </w:t>
      </w:r>
      <w:r>
        <w:rPr/>
        <w:t xml:space="preserve">Kasutatakse RJ45 Cat6 pistikupesasid. Jaotlates otsastatakse kogu pistikupesade võrk </w:t>
      </w:r>
      <w:r>
        <w:rPr>
          <w:highlight w:val="yellow"/>
        </w:rPr>
        <w:t>12xRJ45</w:t>
      </w:r>
      <w:r>
        <w:rPr/>
        <w:t xml:space="preserve"> Cat6 paneelis</w:t>
      </w:r>
      <w:r>
        <w:rPr>
          <w:szCs w:val="24"/>
        </w:rPr>
        <w:t xml:space="preserve"> Korterite sisene  side- ja arvutivõrk ehitatakse tähtvõrguna. </w:t>
      </w:r>
    </w:p>
    <w:p>
      <w:pPr>
        <w:pStyle w:val="Normal"/>
        <w:ind w:left="0" w:right="-1" w:hanging="0"/>
        <w:jc w:val="both"/>
        <w:rPr/>
      </w:pPr>
      <w:r>
        <w:rPr/>
        <w:t>Paigaldustööd tuleb teostada  standardi EN 50174-2 kohaselt. Varjatud paigaldusega kaablid paigaldatakse kaablikaitsetorudesse. Kõik side- ja arvutivõrgu kaablid märgistatakse kummalgi otsal samasisulise märgistusega. Märgistada tuleb kõik pesad side- ja arvutivõrgu töökohtadel ja ühenduspaneelidel.</w:t>
      </w:r>
    </w:p>
    <w:p>
      <w:pPr>
        <w:pStyle w:val="Normal"/>
        <w:jc w:val="both"/>
        <w:rPr/>
      </w:pPr>
      <w:r>
        <w:rPr/>
        <w:t>Paigaldatud kaablivõrgu kohta tuleb koostada mõõdistusprotokollid standardis EN50173 esitatud parameetrite järgselt ja vastavalt standardile EN50174. Mõõdistustulemused tuleb esitada detailselt digitaalsel kujul (arvutifailis). Võrgu mõõtmisprotokoll tuleb anda üle tellijale peale mõõtmiste lõpetamist ja enne vastuvõtukontrolli. Töövõtjal on kohustus anda tellijale üle mõõteseadme originaalfail ning kasutada seadet, mis ei võimalda mõõteprotokolli muutmist. Kasutatava seadme taatlemisest ei tohi olla möödas rohkem kui 12 kuud.</w:t>
      </w:r>
    </w:p>
    <w:p>
      <w:pPr>
        <w:pStyle w:val="XXu"/>
        <w:numPr>
          <w:ilvl w:val="1"/>
          <w:numId w:val="9"/>
        </w:numPr>
        <w:tabs>
          <w:tab w:val="left" w:pos="851" w:leader="none"/>
        </w:tabs>
        <w:spacing w:before="240" w:after="120"/>
        <w:ind w:left="851" w:right="0" w:hanging="851"/>
        <w:rPr/>
      </w:pPr>
      <w:bookmarkStart w:id="171" w:name="__RefHeading__1230_890730114"/>
      <w:bookmarkStart w:id="172" w:name="_Toc455734202"/>
      <w:bookmarkStart w:id="173" w:name="_Toc413926834"/>
      <w:bookmarkStart w:id="174" w:name="_Toc413399287"/>
      <w:bookmarkStart w:id="175" w:name="_Toc389224041"/>
      <w:bookmarkStart w:id="176" w:name="_Toc355691931"/>
      <w:bookmarkEnd w:id="171"/>
      <w:bookmarkEnd w:id="172"/>
      <w:bookmarkEnd w:id="173"/>
      <w:bookmarkEnd w:id="174"/>
      <w:bookmarkEnd w:id="175"/>
      <w:bookmarkEnd w:id="176"/>
      <w:r>
        <w:rPr/>
        <w:t>TV-võrk</w:t>
      </w:r>
    </w:p>
    <w:p>
      <w:pPr>
        <w:pStyle w:val="Normal"/>
        <w:jc w:val="both"/>
        <w:rPr/>
      </w:pPr>
      <w:r>
        <w:rPr/>
        <w:t xml:space="preserve">Hoone TV-võrgu perspektiivne operaator on Telia, kelle lahendus baseerub Cat võrgul. </w:t>
      </w:r>
    </w:p>
    <w:p>
      <w:pPr>
        <w:pStyle w:val="XXu"/>
        <w:numPr>
          <w:ilvl w:val="1"/>
          <w:numId w:val="9"/>
        </w:numPr>
        <w:tabs>
          <w:tab w:val="left" w:pos="851" w:leader="none"/>
        </w:tabs>
        <w:spacing w:before="240" w:after="120"/>
        <w:ind w:left="851" w:right="0" w:hanging="851"/>
        <w:rPr/>
      </w:pPr>
      <w:bookmarkStart w:id="177" w:name="__RefHeading__1232_890730114"/>
      <w:bookmarkStart w:id="178" w:name="_Toc455734205"/>
      <w:bookmarkStart w:id="179" w:name="_Toc413926837"/>
      <w:bookmarkEnd w:id="177"/>
      <w:bookmarkEnd w:id="178"/>
      <w:bookmarkEnd w:id="179"/>
      <w:r>
        <w:rPr/>
        <w:t>Valvesignalisatsioon</w:t>
      </w:r>
    </w:p>
    <w:p>
      <w:pPr>
        <w:pStyle w:val="Normal"/>
        <w:spacing w:before="0" w:after="120"/>
        <w:jc w:val="both"/>
        <w:rPr>
          <w:highlight w:val="yellow"/>
        </w:rPr>
      </w:pPr>
      <w:r>
        <w:rPr>
          <w:highlight w:val="yellow"/>
        </w:rPr>
        <w:t>Vastavalt tellija lähteülesandele nähakse ette igas korteris valvesignalisatsiooni valmidus - välisukse magnetandur, korteri sisene kaabeldus sõrmistikule, sireenile ja liikumisanduritele. Valvesignalisatsiooni keskseadme, sõrmistiku, sireeni ja liikumisandurid patareidega paigaldab korteriomanik. Sõrmistiku kõrgus 1400 mm põrandast. Valvesignalisatsiooni keskus nähakse ette korteri varjatumasse piirkonda.</w:t>
      </w:r>
    </w:p>
    <w:p>
      <w:pPr>
        <w:pStyle w:val="XXu"/>
        <w:numPr>
          <w:ilvl w:val="1"/>
          <w:numId w:val="9"/>
        </w:numPr>
        <w:tabs>
          <w:tab w:val="left" w:pos="851" w:leader="none"/>
        </w:tabs>
        <w:spacing w:before="240" w:after="120"/>
        <w:ind w:left="851" w:right="0" w:hanging="851"/>
        <w:rPr/>
      </w:pPr>
      <w:bookmarkStart w:id="180" w:name="__RefHeading__1234_890730114"/>
      <w:bookmarkStart w:id="181" w:name="_Toc455734206"/>
      <w:bookmarkStart w:id="182" w:name="_Toc413926838"/>
      <w:bookmarkEnd w:id="180"/>
      <w:bookmarkEnd w:id="181"/>
      <w:bookmarkEnd w:id="182"/>
      <w:r>
        <w:rPr/>
        <w:t>Videovalve</w:t>
      </w:r>
    </w:p>
    <w:p>
      <w:pPr>
        <w:pStyle w:val="Normal"/>
        <w:jc w:val="both"/>
        <w:rPr/>
      </w:pPr>
      <w:r>
        <w:rPr/>
        <w:t>Hoone õuepoolsele küljele välisseinale paigaldatakse üks videokaamera.</w:t>
      </w:r>
    </w:p>
    <w:p>
      <w:pPr>
        <w:pStyle w:val="XXu"/>
        <w:numPr>
          <w:ilvl w:val="1"/>
          <w:numId w:val="9"/>
        </w:numPr>
        <w:tabs>
          <w:tab w:val="left" w:pos="851" w:leader="none"/>
        </w:tabs>
        <w:spacing w:before="240" w:after="120"/>
        <w:ind w:left="851" w:right="0" w:hanging="851"/>
        <w:rPr/>
      </w:pPr>
      <w:bookmarkStart w:id="183" w:name="__RefHeading__1236_890730114"/>
      <w:bookmarkStart w:id="184" w:name="_Toc455734207"/>
      <w:bookmarkStart w:id="185" w:name="_Toc413926839"/>
      <w:bookmarkStart w:id="186" w:name="_Toc346620091"/>
      <w:bookmarkEnd w:id="183"/>
      <w:bookmarkEnd w:id="184"/>
      <w:bookmarkEnd w:id="185"/>
      <w:bookmarkEnd w:id="186"/>
      <w:r>
        <w:rPr/>
        <w:t>Tulekahjusignalisatsioon</w:t>
      </w:r>
    </w:p>
    <w:p>
      <w:pPr>
        <w:pStyle w:val="Normal"/>
        <w:jc w:val="both"/>
        <w:rPr/>
      </w:pPr>
      <w:r>
        <w:rPr/>
        <w:t>Tulekahjusignalisatsioon lahendatakse vastavalt ametkondlikele (Päästeameti) nõuetele, Vabariigi Valitsuse määrusele nr. 54 “Ehitisele esitatavad tuleohutusnõuded” ja standarditele EVS 812 „Ehitiste tuleohutus“  on nõutavad vähemalt 1 autonoomne tulekahjusignalisatsiooniandur igas korteris.</w:t>
      </w:r>
    </w:p>
    <w:p>
      <w:pPr>
        <w:pStyle w:val="Normal"/>
        <w:spacing w:before="120" w:after="120"/>
        <w:jc w:val="both"/>
        <w:rPr/>
      </w:pPr>
      <w:r>
        <w:rPr/>
        <w:t xml:space="preserve">Ülalnimetatud dokumendid automaatset tulekahjusignalisatsiooni korterites ei nõua, kuid nõutav on korterite varustatus lokaalselt toimivate suitsuanduritega. Üldjuhul paigaldatakse need elutubadesse. </w:t>
      </w:r>
    </w:p>
    <w:p>
      <w:pPr>
        <w:pStyle w:val="XXu"/>
        <w:numPr>
          <w:ilvl w:val="1"/>
          <w:numId w:val="9"/>
        </w:numPr>
        <w:tabs>
          <w:tab w:val="left" w:pos="851" w:leader="none"/>
        </w:tabs>
        <w:spacing w:before="240" w:after="120"/>
        <w:ind w:left="851" w:right="0" w:hanging="851"/>
        <w:rPr/>
      </w:pPr>
      <w:bookmarkStart w:id="187" w:name="__RefHeading__1238_890730114"/>
      <w:bookmarkEnd w:id="187"/>
      <w:r>
        <w:rPr/>
        <w:t>Tulekaitse</w:t>
      </w:r>
    </w:p>
    <w:p>
      <w:pPr>
        <w:pStyle w:val="TextBody"/>
        <w:spacing w:before="120" w:after="120"/>
        <w:jc w:val="both"/>
        <w:rPr/>
      </w:pPr>
      <w:r>
        <w:rPr/>
        <w:t>Korrustevahelised ja eri tuletõkkesektsioonide vahelised kommunikatsioonide läbiviigud erinevatest tuletõkkesektsioonidest tuleb tihendada nõuetekohaselt, vastavalt tuletõkkesektsiooni tulepüsivuse astmele. Kaablid kaitstakse hülssidega, kasutades mitte- või raskestipõlevaid PVC plastiktorusid.</w:t>
      </w:r>
    </w:p>
    <w:p>
      <w:pPr>
        <w:pStyle w:val="TextBody"/>
        <w:spacing w:before="120" w:after="120"/>
        <w:jc w:val="both"/>
        <w:rPr/>
      </w:pPr>
      <w:r>
        <w:rPr/>
      </w:r>
    </w:p>
    <w:sectPr>
      <w:headerReference w:type="default" r:id="rId3"/>
      <w:type w:val="nextPage"/>
      <w:pgSz w:w="11906" w:h="16838"/>
      <w:pgMar w:left="1701" w:right="1134" w:header="426" w:top="1134" w:footer="0" w:bottom="1134" w:gutter="0"/>
      <w:pgNumType w:fmt="decimal"/>
      <w:formProt w:val="false"/>
      <w:textDirection w:val="lrTb"/>
      <w:docGrid w:type="default" w:linePitch="326"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Arial">
    <w:charset w:val="ba"/>
    <w:family w:val="roman"/>
    <w:pitch w:val="variable"/>
  </w:font>
  <w:font w:name="Consolas">
    <w:charset w:val="ba"/>
    <w:family w:val="roman"/>
    <w:pitch w:val="variable"/>
  </w:font>
  <w:font w:name="Liberation Sans">
    <w:altName w:val="Arial"/>
    <w:charset w:val="ba"/>
    <w:family w:val="swiss"/>
    <w:pitch w:val="variable"/>
  </w:font>
  <w:font w:name="Tahoma">
    <w:charset w:val="ba"/>
    <w:family w:val="roman"/>
    <w:pitch w:val="variable"/>
  </w:font>
  <w:font w:name="Times New Roman Bold">
    <w:charset w:val="ba"/>
    <w:family w:val="roman"/>
    <w:pitch w:val="variable"/>
  </w:font>
  <w:font w:name="Times New Roman">
    <w:charset w:val="ba"/>
    <w:family w:val="roman"/>
    <w:pitch w:val="variable"/>
  </w:font>
  <w:font w:name="Cambria">
    <w:charset w:val="ba"/>
    <w:family w:val="roman"/>
    <w:pitch w:val="variable"/>
  </w:font>
  <w:font w:name="Arial Narrow">
    <w:charset w:val="ba"/>
    <w:family w:val="roman"/>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 w:name="Batang">
    <w:altName w:val="바탕"/>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tabs>
        <w:tab w:val="center" w:pos="4819" w:leader="none"/>
        <w:tab w:val="right" w:pos="9072" w:leader="none"/>
      </w:tabs>
      <w:suppressAutoHyphens w:val="true"/>
      <w:ind w:left="0" w:right="0" w:hanging="567"/>
      <w:jc w:val="both"/>
      <w:rPr/>
    </w:pPr>
    <w:r>
      <w:rPr/>
      <w:fldChar w:fldCharType="begin"/>
    </w:r>
    <w:r>
      <w:instrText> FILENAME </w:instrText>
    </w:r>
    <w:r>
      <w:fldChar w:fldCharType="separate"/>
    </w:r>
    <w:r>
      <w:t>1305-PP-ET-Ca-selet</w:t>
    </w:r>
    <w:r>
      <w:fldChar w:fldCharType="end"/>
    </w:r>
  </w:p>
  <w:p>
    <w:pPr>
      <w:pStyle w:val="Header"/>
      <w:tabs>
        <w:tab w:val="center" w:pos="4819" w:leader="none"/>
        <w:tab w:val="right" w:pos="9072" w:leader="none"/>
      </w:tabs>
      <w:suppressAutoHyphens w:val="true"/>
      <w:ind w:left="0" w:right="0" w:hanging="567"/>
      <w:jc w:val="both"/>
      <w:rPr/>
    </w:pPr>
    <w:r>
      <w:rPr/>
      <w:fldChar w:fldCharType="begin"/>
    </w:r>
    <w:r>
      <w:instrText> DATE \@"d\.MM\.yyyy" </w:instrText>
    </w:r>
    <w:r>
      <w:fldChar w:fldCharType="separate"/>
    </w:r>
    <w:r>
      <w:t>19.09.2016</w:t>
    </w:r>
    <w:r>
      <w:fldChar w:fldCharType="end"/>
    </w:r>
  </w:p>
  <w:tbl>
    <w:tblPr>
      <w:jc w:val="left"/>
      <w:tblInd w:w="-567" w:type="dxa"/>
      <w:tblBorders>
        <w:top w:val="single" w:sz="12" w:space="0" w:color="00000A"/>
        <w:left w:val="single" w:sz="12" w:space="0" w:color="00000A"/>
        <w:bottom w:val="single" w:sz="4" w:space="0" w:color="00000A"/>
        <w:insideH w:val="single" w:sz="4" w:space="0" w:color="00000A"/>
        <w:right w:val="nil"/>
        <w:insideV w:val="nil"/>
      </w:tblBorders>
      <w:tblCellMar>
        <w:top w:w="0" w:type="dxa"/>
        <w:left w:w="57" w:type="dxa"/>
        <w:bottom w:w="0" w:type="dxa"/>
        <w:right w:w="0" w:type="dxa"/>
      </w:tblCellMar>
    </w:tblPr>
    <w:tblGrid>
      <w:gridCol w:w="1474"/>
      <w:gridCol w:w="489"/>
      <w:gridCol w:w="1494"/>
      <w:gridCol w:w="1"/>
      <w:gridCol w:w="1133"/>
      <w:gridCol w:w="3119"/>
      <w:gridCol w:w="1276"/>
      <w:gridCol w:w="1"/>
      <w:gridCol w:w="1281"/>
    </w:tblGrid>
    <w:tr>
      <w:trPr>
        <w:trHeight w:val="20" w:hRule="atLeast"/>
        <w:cantSplit w:val="true"/>
      </w:trPr>
      <w:tc>
        <w:tcPr>
          <w:tcW w:w="1963" w:type="dxa"/>
          <w:gridSpan w:val="2"/>
          <w:vMerge w:val="restart"/>
          <w:tcBorders>
            <w:top w:val="single" w:sz="12" w:space="0" w:color="00000A"/>
            <w:left w:val="single" w:sz="12" w:space="0" w:color="00000A"/>
            <w:bottom w:val="single" w:sz="4" w:space="0" w:color="00000A"/>
            <w:insideH w:val="single" w:sz="4" w:space="0" w:color="00000A"/>
            <w:right w:val="nil"/>
            <w:insideV w:val="nil"/>
          </w:tcBorders>
          <w:shd w:fill="auto" w:val="clear"/>
          <w:tcMar>
            <w:left w:w="57" w:type="dxa"/>
          </w:tcMar>
          <w:vAlign w:val="center"/>
        </w:tcPr>
        <w:p>
          <w:pPr>
            <w:pStyle w:val="Header"/>
            <w:rPr>
              <w:sz w:val="16"/>
              <w:szCs w:val="16"/>
            </w:rPr>
          </w:pPr>
          <w:r>
            <w:rPr>
              <w:sz w:val="16"/>
              <w:szCs w:val="16"/>
            </w:rPr>
          </w:r>
        </w:p>
      </w:tc>
      <w:tc>
        <w:tcPr>
          <w:tcW w:w="1494" w:type="dxa"/>
          <w:vMerge w:val="restart"/>
          <w:tcBorders>
            <w:top w:val="single" w:sz="12" w:space="0" w:color="00000A"/>
            <w:left w:val="nil"/>
            <w:bottom w:val="single" w:sz="4" w:space="0" w:color="00000A"/>
            <w:insideH w:val="single" w:sz="4" w:space="0" w:color="00000A"/>
            <w:right w:val="single" w:sz="4" w:space="0" w:color="00000A"/>
            <w:insideV w:val="single" w:sz="4" w:space="0" w:color="00000A"/>
          </w:tcBorders>
          <w:shd w:fill="auto" w:val="clear"/>
          <w:vAlign w:val="center"/>
        </w:tcPr>
        <w:p>
          <w:pPr>
            <w:pStyle w:val="Normal"/>
            <w:tabs>
              <w:tab w:val="left" w:pos="540" w:leader="none"/>
            </w:tabs>
            <w:ind w:left="0" w:right="142" w:hanging="0"/>
            <w:jc w:val="right"/>
            <w:rPr/>
          </w:pPr>
          <w:r>
            <w:rPr/>
          </w:r>
        </w:p>
      </w:tc>
      <w:tc>
        <w:tcPr>
          <w:tcW w:w="5529" w:type="dxa"/>
          <w:gridSpan w:val="4"/>
          <w:tcBorders>
            <w:top w:val="single" w:sz="12" w:space="0" w:color="00000A"/>
            <w:left w:val="single" w:sz="4" w:space="0" w:color="00000A"/>
            <w:bottom w:val="nil"/>
            <w:insideH w:val="nil"/>
            <w:right w:val="single" w:sz="4" w:space="0" w:color="00000A"/>
            <w:insideV w:val="single" w:sz="4" w:space="0" w:color="00000A"/>
          </w:tcBorders>
          <w:shd w:fill="auto" w:val="clear"/>
          <w:tcMar>
            <w:left w:w="67" w:type="dxa"/>
          </w:tcMar>
        </w:tcPr>
        <w:p>
          <w:pPr>
            <w:pStyle w:val="Normal"/>
            <w:rPr/>
          </w:pPr>
          <w:r>
            <w:rPr/>
          </w:r>
        </w:p>
      </w:tc>
      <w:tc>
        <w:tcPr>
          <w:tcW w:w="1282" w:type="dxa"/>
          <w:gridSpan w:val="2"/>
          <w:tcBorders>
            <w:top w:val="single" w:sz="12" w:space="0" w:color="00000A"/>
            <w:left w:val="single" w:sz="4" w:space="0" w:color="00000A"/>
            <w:bottom w:val="nil"/>
            <w:insideH w:val="nil"/>
            <w:right w:val="single" w:sz="12" w:space="0" w:color="00000A"/>
            <w:insideV w:val="single" w:sz="12" w:space="0" w:color="00000A"/>
          </w:tcBorders>
          <w:shd w:fill="auto" w:val="clear"/>
          <w:tcMar>
            <w:left w:w="67" w:type="dxa"/>
          </w:tcMar>
        </w:tcPr>
        <w:p>
          <w:pPr>
            <w:pStyle w:val="Normal"/>
            <w:rPr>
              <w:rFonts w:ascii="Arial Narrow" w:hAnsi="Arial Narrow"/>
              <w:sz w:val="12"/>
            </w:rPr>
          </w:pPr>
          <w:r>
            <w:rPr>
              <w:rFonts w:ascii="Arial Narrow" w:hAnsi="Arial Narrow"/>
              <w:sz w:val="12"/>
            </w:rPr>
            <w:t>Kuupäev</w:t>
          </w:r>
        </w:p>
      </w:tc>
    </w:tr>
    <w:tr>
      <w:trPr>
        <w:trHeight w:val="688" w:hRule="atLeast"/>
        <w:cantSplit w:val="true"/>
      </w:trPr>
      <w:tc>
        <w:tcPr>
          <w:tcW w:w="1963" w:type="dxa"/>
          <w:gridSpan w:val="2"/>
          <w:vMerge w:val="continue"/>
          <w:tcBorders>
            <w:top w:val="single" w:sz="4" w:space="0" w:color="00000A"/>
            <w:left w:val="single" w:sz="12" w:space="0" w:color="00000A"/>
            <w:bottom w:val="single" w:sz="4" w:space="0" w:color="00000A"/>
            <w:insideH w:val="single" w:sz="4" w:space="0" w:color="00000A"/>
            <w:right w:val="nil"/>
            <w:insideV w:val="nil"/>
          </w:tcBorders>
          <w:shd w:fill="auto" w:val="clear"/>
          <w:tcMar>
            <w:left w:w="57" w:type="dxa"/>
          </w:tcMar>
          <w:vAlign w:val="center"/>
        </w:tcPr>
        <w:p>
          <w:pPr>
            <w:pStyle w:val="Header"/>
            <w:rPr>
              <w:sz w:val="16"/>
              <w:szCs w:val="16"/>
            </w:rPr>
          </w:pPr>
          <w:r>
            <w:rPr>
              <w:sz w:val="16"/>
              <w:szCs w:val="16"/>
            </w:rPr>
          </w:r>
        </w:p>
      </w:tc>
      <w:tc>
        <w:tcPr>
          <w:tcW w:w="1494" w:type="dxa"/>
          <w:vMerge w:val="continue"/>
          <w:tcBorders>
            <w:top w:val="single" w:sz="4" w:space="0" w:color="00000A"/>
            <w:left w:val="nil"/>
            <w:bottom w:val="single" w:sz="4" w:space="0" w:color="00000A"/>
            <w:insideH w:val="single" w:sz="4" w:space="0" w:color="00000A"/>
            <w:right w:val="single" w:sz="4" w:space="0" w:color="00000A"/>
            <w:insideV w:val="single" w:sz="4" w:space="0" w:color="00000A"/>
          </w:tcBorders>
          <w:shd w:fill="auto" w:val="clear"/>
          <w:vAlign w:val="center"/>
        </w:tcPr>
        <w:p>
          <w:pPr>
            <w:pStyle w:val="Header"/>
            <w:rPr>
              <w:sz w:val="16"/>
              <w:szCs w:val="16"/>
            </w:rPr>
          </w:pPr>
          <w:r>
            <w:rPr>
              <w:sz w:val="16"/>
              <w:szCs w:val="16"/>
            </w:rPr>
          </w:r>
        </w:p>
      </w:tc>
      <w:tc>
        <w:tcPr>
          <w:tcW w:w="5529" w:type="dxa"/>
          <w:gridSpan w:val="4"/>
          <w:tcBorders>
            <w:top w:val="nil"/>
            <w:left w:val="single" w:sz="4" w:space="0" w:color="00000A"/>
            <w:bottom w:val="single" w:sz="4" w:space="0" w:color="00000A"/>
            <w:insideH w:val="single" w:sz="4" w:space="0" w:color="00000A"/>
            <w:right w:val="single" w:sz="4" w:space="0" w:color="00000A"/>
            <w:insideV w:val="single" w:sz="4" w:space="0" w:color="00000A"/>
          </w:tcBorders>
          <w:shd w:fill="auto" w:val="clear"/>
          <w:tcMar>
            <w:left w:w="67" w:type="dxa"/>
          </w:tcMar>
        </w:tcPr>
        <w:p>
          <w:pPr>
            <w:pStyle w:val="Normal"/>
            <w:suppressAutoHyphens w:val="true"/>
            <w:jc w:val="center"/>
            <w:rPr/>
          </w:pPr>
          <w:r>
            <w:rPr/>
          </w:r>
        </w:p>
      </w:tc>
      <w:tc>
        <w:tcPr>
          <w:tcW w:w="1282" w:type="dxa"/>
          <w:gridSpan w:val="2"/>
          <w:tcBorders>
            <w:top w:val="nil"/>
            <w:left w:val="single" w:sz="4" w:space="0" w:color="00000A"/>
            <w:bottom w:val="single" w:sz="4" w:space="0" w:color="00000A"/>
            <w:insideH w:val="single" w:sz="4" w:space="0" w:color="00000A"/>
            <w:right w:val="single" w:sz="12" w:space="0" w:color="00000A"/>
            <w:insideV w:val="single" w:sz="12" w:space="0" w:color="00000A"/>
          </w:tcBorders>
          <w:shd w:fill="auto" w:val="clear"/>
          <w:tcMar>
            <w:left w:w="67" w:type="dxa"/>
          </w:tcMar>
          <w:vAlign w:val="center"/>
        </w:tcPr>
        <w:p>
          <w:pPr>
            <w:pStyle w:val="Normal"/>
            <w:jc w:val="center"/>
            <w:rPr/>
          </w:pPr>
          <w:r>
            <w:rPr/>
          </w:r>
        </w:p>
      </w:tc>
    </w:tr>
    <w:tr>
      <w:trPr>
        <w:trHeight w:val="20" w:hRule="atLeast"/>
        <w:cantSplit w:val="true"/>
      </w:trPr>
      <w:tc>
        <w:tcPr>
          <w:tcW w:w="1474" w:type="dxa"/>
          <w:tcBorders>
            <w:top w:val="single" w:sz="4" w:space="0" w:color="00000A"/>
            <w:left w:val="single" w:sz="12" w:space="0" w:color="00000A"/>
            <w:bottom w:val="single" w:sz="4" w:space="0" w:color="00000A"/>
            <w:insideH w:val="single" w:sz="4" w:space="0" w:color="00000A"/>
            <w:right w:val="nil"/>
            <w:insideV w:val="nil"/>
          </w:tcBorders>
          <w:shd w:fill="auto" w:val="clear"/>
          <w:tcMar>
            <w:left w:w="57" w:type="dxa"/>
          </w:tcMar>
          <w:vAlign w:val="center"/>
        </w:tcPr>
        <w:p>
          <w:pPr>
            <w:pStyle w:val="Normal"/>
            <w:rPr>
              <w:rFonts w:ascii="Arial Narrow" w:hAnsi="Arial Narrow"/>
              <w:sz w:val="18"/>
            </w:rPr>
          </w:pPr>
          <w:r>
            <w:rPr>
              <w:rFonts w:ascii="Arial Narrow" w:hAnsi="Arial Narrow"/>
              <w:sz w:val="18"/>
            </w:rPr>
            <w:t>Teostas</w:t>
          </w:r>
        </w:p>
      </w:tc>
      <w:tc>
        <w:tcPr>
          <w:tcW w:w="1984" w:type="dxa"/>
          <w:gridSpan w:val="3"/>
          <w:tcBorders>
            <w:top w:val="single" w:sz="4" w:space="0" w:color="00000A"/>
            <w:left w:val="nil"/>
            <w:bottom w:val="single" w:sz="4" w:space="0" w:color="00000A"/>
            <w:insideH w:val="single" w:sz="4" w:space="0" w:color="00000A"/>
            <w:right w:val="single" w:sz="4" w:space="0" w:color="00000A"/>
            <w:insideV w:val="single" w:sz="4" w:space="0" w:color="00000A"/>
          </w:tcBorders>
          <w:shd w:fill="auto" w:val="clear"/>
          <w:vAlign w:val="center"/>
        </w:tcPr>
        <w:p>
          <w:pPr>
            <w:pStyle w:val="Header"/>
            <w:rPr/>
          </w:pPr>
          <w:r>
            <w:rPr/>
          </w:r>
        </w:p>
      </w:tc>
      <w:tc>
        <w:tcPr>
          <w:tcW w:w="5529" w:type="dxa"/>
          <w:gridSpan w:val="4"/>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67" w:type="dxa"/>
          </w:tcMar>
          <w:vAlign w:val="center"/>
        </w:tcPr>
        <w:p>
          <w:pPr>
            <w:pStyle w:val="Normal"/>
            <w:jc w:val="center"/>
            <w:rPr>
              <w:rFonts w:ascii="Arial Narrow" w:hAnsi="Arial Narrow"/>
              <w:sz w:val="20"/>
            </w:rPr>
          </w:pPr>
          <w:r>
            <w:rPr>
              <w:rFonts w:ascii="Arial Narrow" w:hAnsi="Arial Narrow"/>
              <w:sz w:val="20"/>
            </w:rPr>
            <w:t>ELEKTRIPAIGALDIS</w:t>
          </w:r>
        </w:p>
        <w:p>
          <w:pPr>
            <w:pStyle w:val="Normal"/>
            <w:jc w:val="center"/>
            <w:rPr>
              <w:rFonts w:ascii="Arial Narrow" w:hAnsi="Arial Narrow"/>
              <w:sz w:val="20"/>
            </w:rPr>
          </w:pPr>
          <w:r>
            <w:rPr>
              <w:rFonts w:ascii="Arial Narrow" w:hAnsi="Arial Narrow"/>
              <w:sz w:val="20"/>
            </w:rPr>
            <w:t>SELETUSKIRI</w:t>
          </w:r>
        </w:p>
      </w:tc>
      <w:tc>
        <w:tcPr>
          <w:tcW w:w="1281" w:type="dxa"/>
          <w:tcBorders>
            <w:top w:val="single" w:sz="4" w:space="0" w:color="00000A"/>
            <w:left w:val="single" w:sz="4" w:space="0" w:color="00000A"/>
            <w:bottom w:val="nil"/>
            <w:insideH w:val="nil"/>
            <w:right w:val="single" w:sz="12" w:space="0" w:color="00000A"/>
            <w:insideV w:val="single" w:sz="12" w:space="0" w:color="00000A"/>
          </w:tcBorders>
          <w:shd w:fill="auto" w:val="clear"/>
          <w:tcMar>
            <w:left w:w="67" w:type="dxa"/>
          </w:tcMar>
        </w:tcPr>
        <w:p>
          <w:pPr>
            <w:pStyle w:val="Normal"/>
            <w:rPr>
              <w:rFonts w:ascii="Arial Narrow" w:hAnsi="Arial Narrow"/>
              <w:sz w:val="12"/>
            </w:rPr>
          </w:pPr>
          <w:r>
            <w:rPr>
              <w:rFonts w:ascii="Arial Narrow" w:hAnsi="Arial Narrow"/>
              <w:sz w:val="12"/>
            </w:rPr>
            <w:t>Leht / Lehti</w:t>
          </w:r>
        </w:p>
      </w:tc>
    </w:tr>
    <w:tr>
      <w:trPr>
        <w:trHeight w:val="20" w:hRule="atLeast"/>
        <w:cantSplit w:val="true"/>
      </w:trPr>
      <w:tc>
        <w:tcPr>
          <w:tcW w:w="1474" w:type="dxa"/>
          <w:tcBorders>
            <w:top w:val="single" w:sz="4" w:space="0" w:color="00000A"/>
            <w:left w:val="single" w:sz="12" w:space="0" w:color="00000A"/>
            <w:bottom w:val="single" w:sz="4" w:space="0" w:color="00000A"/>
            <w:insideH w:val="single" w:sz="4" w:space="0" w:color="00000A"/>
            <w:right w:val="nil"/>
            <w:insideV w:val="nil"/>
          </w:tcBorders>
          <w:shd w:fill="auto" w:val="clear"/>
          <w:tcMar>
            <w:left w:w="57" w:type="dxa"/>
          </w:tcMar>
          <w:vAlign w:val="center"/>
        </w:tcPr>
        <w:p>
          <w:pPr>
            <w:pStyle w:val="Normal"/>
            <w:rPr>
              <w:rFonts w:ascii="Arial Narrow" w:hAnsi="Arial Narrow"/>
              <w:sz w:val="18"/>
            </w:rPr>
          </w:pPr>
          <w:r>
            <w:rPr>
              <w:rFonts w:ascii="Arial Narrow" w:hAnsi="Arial Narrow"/>
              <w:sz w:val="18"/>
            </w:rPr>
            <w:t>Vastutav spetsialist:</w:t>
          </w:r>
        </w:p>
      </w:tc>
      <w:tc>
        <w:tcPr>
          <w:tcW w:w="1984" w:type="dxa"/>
          <w:gridSpan w:val="3"/>
          <w:tcBorders>
            <w:top w:val="single" w:sz="4" w:space="0" w:color="00000A"/>
            <w:left w:val="nil"/>
            <w:bottom w:val="single" w:sz="4" w:space="0" w:color="00000A"/>
            <w:insideH w:val="single" w:sz="4" w:space="0" w:color="00000A"/>
            <w:right w:val="single" w:sz="4" w:space="0" w:color="00000A"/>
            <w:insideV w:val="single" w:sz="4" w:space="0" w:color="00000A"/>
          </w:tcBorders>
          <w:shd w:fill="auto" w:val="clear"/>
          <w:vAlign w:val="center"/>
        </w:tcPr>
        <w:p>
          <w:pPr>
            <w:pStyle w:val="Header"/>
            <w:rPr/>
          </w:pPr>
          <w:r>
            <w:rPr/>
          </w:r>
        </w:p>
      </w:tc>
      <w:tc>
        <w:tcPr>
          <w:tcW w:w="5529" w:type="dxa"/>
          <w:gridSpan w:val="4"/>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67" w:type="dxa"/>
          </w:tcMar>
          <w:vAlign w:val="bottom"/>
        </w:tcPr>
        <w:p>
          <w:pPr>
            <w:pStyle w:val="Header"/>
            <w:rPr>
              <w:sz w:val="16"/>
              <w:szCs w:val="16"/>
            </w:rPr>
          </w:pPr>
          <w:r>
            <w:rPr>
              <w:sz w:val="16"/>
              <w:szCs w:val="16"/>
            </w:rPr>
          </w:r>
        </w:p>
      </w:tc>
      <w:tc>
        <w:tcPr>
          <w:tcW w:w="1281" w:type="dxa"/>
          <w:tcBorders>
            <w:top w:val="nil"/>
            <w:left w:val="single" w:sz="4" w:space="0" w:color="00000A"/>
            <w:bottom w:val="single" w:sz="4" w:space="0" w:color="00000A"/>
            <w:insideH w:val="single" w:sz="4" w:space="0" w:color="00000A"/>
            <w:right w:val="single" w:sz="12" w:space="0" w:color="00000A"/>
            <w:insideV w:val="single" w:sz="12" w:space="0" w:color="00000A"/>
          </w:tcBorders>
          <w:shd w:fill="auto" w:val="clear"/>
          <w:tcMar>
            <w:left w:w="67" w:type="dxa"/>
          </w:tcMar>
        </w:tcPr>
        <w:p>
          <w:pPr>
            <w:pStyle w:val="Normal"/>
            <w:jc w:val="center"/>
            <w:rPr>
              <w:rFonts w:ascii="Arial Narrow" w:hAnsi="Arial Narrow"/>
              <w:sz w:val="20"/>
            </w:rPr>
          </w:pPr>
          <w:r>
            <w:rPr>
              <w:rFonts w:ascii="Arial Narrow" w:hAnsi="Arial Narrow"/>
              <w:sz w:val="20"/>
            </w:rPr>
            <w:fldChar w:fldCharType="begin"/>
          </w:r>
          <w:r>
            <w:instrText> PAGE </w:instrText>
          </w:r>
          <w:r>
            <w:fldChar w:fldCharType="separate"/>
          </w:r>
          <w:r>
            <w:t>10</w:t>
          </w:r>
          <w:r>
            <w:fldChar w:fldCharType="end"/>
          </w:r>
          <w:r>
            <w:rPr>
              <w:rFonts w:ascii="Arial Narrow" w:hAnsi="Arial Narrow"/>
              <w:sz w:val="20"/>
            </w:rPr>
            <w:t xml:space="preserve"> </w:t>
          </w:r>
          <w:r>
            <w:rPr>
              <w:rFonts w:ascii="Arial Narrow" w:hAnsi="Arial Narrow"/>
              <w:sz w:val="20"/>
            </w:rPr>
            <w:t xml:space="preserve">/ </w:t>
          </w:r>
          <w:r>
            <w:rPr>
              <w:rFonts w:ascii="Arial Narrow" w:hAnsi="Arial Narrow"/>
              <w:sz w:val="20"/>
            </w:rPr>
            <w:fldChar w:fldCharType="begin"/>
          </w:r>
          <w:r>
            <w:instrText> NUMPAGES </w:instrText>
          </w:r>
          <w:r>
            <w:fldChar w:fldCharType="separate"/>
          </w:r>
          <w:r>
            <w:t>10</w:t>
          </w:r>
          <w:r>
            <w:fldChar w:fldCharType="end"/>
          </w:r>
        </w:p>
      </w:tc>
    </w:tr>
    <w:tr>
      <w:trPr>
        <w:trHeight w:val="20" w:hRule="atLeast"/>
        <w:cantSplit w:val="true"/>
      </w:trPr>
      <w:tc>
        <w:tcPr>
          <w:tcW w:w="1474" w:type="dxa"/>
          <w:vMerge w:val="restart"/>
          <w:tcBorders>
            <w:top w:val="single" w:sz="4" w:space="0" w:color="00000A"/>
            <w:left w:val="single" w:sz="12" w:space="0" w:color="00000A"/>
            <w:bottom w:val="single" w:sz="12" w:space="0" w:color="00000A"/>
            <w:insideH w:val="single" w:sz="12" w:space="0" w:color="00000A"/>
            <w:right w:val="nil"/>
            <w:insideV w:val="nil"/>
          </w:tcBorders>
          <w:shd w:fill="auto" w:val="clear"/>
          <w:tcMar>
            <w:left w:w="57" w:type="dxa"/>
          </w:tcMar>
          <w:vAlign w:val="bottom"/>
        </w:tcPr>
        <w:p>
          <w:pPr>
            <w:pStyle w:val="Normal"/>
            <w:rPr>
              <w:rFonts w:ascii="Arial Narrow" w:hAnsi="Arial Narrow"/>
              <w:sz w:val="18"/>
            </w:rPr>
          </w:pPr>
          <w:r>
            <w:rPr>
              <w:rFonts w:ascii="Arial Narrow" w:hAnsi="Arial Narrow"/>
              <w:sz w:val="18"/>
            </w:rPr>
            <w:t>Projektijuht</w:t>
          </w:r>
        </w:p>
      </w:tc>
      <w:tc>
        <w:tcPr>
          <w:tcW w:w="1984" w:type="dxa"/>
          <w:gridSpan w:val="3"/>
          <w:vMerge w:val="restart"/>
          <w:tcBorders>
            <w:top w:val="single" w:sz="4" w:space="0" w:color="00000A"/>
            <w:left w:val="nil"/>
            <w:bottom w:val="single" w:sz="4" w:space="0" w:color="00000A"/>
            <w:insideH w:val="single" w:sz="4" w:space="0" w:color="00000A"/>
            <w:right w:val="single" w:sz="4" w:space="0" w:color="00000A"/>
            <w:insideV w:val="single" w:sz="4" w:space="0" w:color="00000A"/>
          </w:tcBorders>
          <w:shd w:fill="auto" w:val="clear"/>
          <w:vAlign w:val="bottom"/>
        </w:tcPr>
        <w:p>
          <w:pPr>
            <w:pStyle w:val="Header"/>
            <w:rPr/>
          </w:pPr>
          <w:r>
            <w:rPr/>
          </w:r>
        </w:p>
      </w:tc>
      <w:tc>
        <w:tcPr>
          <w:tcW w:w="1133"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67" w:type="dxa"/>
          </w:tcMar>
        </w:tcPr>
        <w:p>
          <w:pPr>
            <w:pStyle w:val="Normal"/>
            <w:rPr>
              <w:rFonts w:ascii="Arial Narrow" w:hAnsi="Arial Narrow"/>
              <w:sz w:val="12"/>
            </w:rPr>
          </w:pPr>
          <w:r>
            <w:rPr>
              <w:rFonts w:ascii="Arial Narrow" w:hAnsi="Arial Narrow"/>
              <w:sz w:val="12"/>
            </w:rPr>
            <w:t>Projekti nr.</w:t>
          </w:r>
        </w:p>
      </w:tc>
      <w:tc>
        <w:tcPr>
          <w:tcW w:w="3119"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67" w:type="dxa"/>
          </w:tcMar>
        </w:tcPr>
        <w:p>
          <w:pPr>
            <w:pStyle w:val="Normal"/>
            <w:rPr>
              <w:rFonts w:ascii="Arial Narrow" w:hAnsi="Arial Narrow"/>
              <w:sz w:val="12"/>
            </w:rPr>
          </w:pPr>
          <w:r>
            <w:rPr>
              <w:rFonts w:ascii="Arial Narrow" w:hAnsi="Arial Narrow"/>
              <w:sz w:val="12"/>
            </w:rPr>
            <w:t>Staadium</w:t>
          </w:r>
        </w:p>
      </w:tc>
      <w:tc>
        <w:tcPr>
          <w:tcW w:w="1276" w:type="dxa"/>
          <w:tcBorders>
            <w:top w:val="single" w:sz="4" w:space="0" w:color="00000A"/>
            <w:left w:val="single" w:sz="4" w:space="0" w:color="00000A"/>
            <w:bottom w:val="nil"/>
            <w:insideH w:val="nil"/>
            <w:right w:val="single" w:sz="4" w:space="0" w:color="00000A"/>
            <w:insideV w:val="single" w:sz="4" w:space="0" w:color="00000A"/>
          </w:tcBorders>
          <w:shd w:fill="auto" w:val="clear"/>
          <w:tcMar>
            <w:left w:w="67" w:type="dxa"/>
          </w:tcMar>
        </w:tcPr>
        <w:p>
          <w:pPr>
            <w:pStyle w:val="Normal"/>
            <w:rPr>
              <w:rFonts w:ascii="Arial Narrow" w:hAnsi="Arial Narrow"/>
              <w:sz w:val="12"/>
            </w:rPr>
          </w:pPr>
          <w:r>
            <w:rPr>
              <w:rFonts w:ascii="Arial Narrow" w:hAnsi="Arial Narrow"/>
              <w:sz w:val="12"/>
            </w:rPr>
            <w:t>Dokument</w:t>
          </w:r>
        </w:p>
      </w:tc>
      <w:tc>
        <w:tcPr>
          <w:tcW w:w="1282" w:type="dxa"/>
          <w:gridSpan w:val="2"/>
          <w:tcBorders>
            <w:top w:val="single" w:sz="4" w:space="0" w:color="00000A"/>
            <w:left w:val="single" w:sz="4" w:space="0" w:color="00000A"/>
            <w:bottom w:val="nil"/>
            <w:insideH w:val="nil"/>
            <w:right w:val="single" w:sz="12" w:space="0" w:color="00000A"/>
            <w:insideV w:val="single" w:sz="12" w:space="0" w:color="00000A"/>
          </w:tcBorders>
          <w:shd w:fill="auto" w:val="clear"/>
          <w:tcMar>
            <w:left w:w="67" w:type="dxa"/>
          </w:tcMar>
        </w:tcPr>
        <w:p>
          <w:pPr>
            <w:pStyle w:val="Normal"/>
            <w:rPr>
              <w:rFonts w:ascii="Arial Narrow" w:hAnsi="Arial Narrow"/>
              <w:sz w:val="12"/>
            </w:rPr>
          </w:pPr>
          <w:r>
            <w:rPr>
              <w:rFonts w:ascii="Arial Narrow" w:hAnsi="Arial Narrow"/>
              <w:sz w:val="12"/>
            </w:rPr>
            <w:t>Versioon</w:t>
          </w:r>
        </w:p>
      </w:tc>
    </w:tr>
    <w:tr>
      <w:trPr>
        <w:trHeight w:val="181" w:hRule="atLeast"/>
        <w:cantSplit w:val="true"/>
      </w:trPr>
      <w:tc>
        <w:tcPr>
          <w:tcW w:w="1474" w:type="dxa"/>
          <w:vMerge w:val="continue"/>
          <w:tcBorders>
            <w:top w:val="single" w:sz="4" w:space="0" w:color="00000A"/>
            <w:left w:val="single" w:sz="12" w:space="0" w:color="00000A"/>
            <w:bottom w:val="single" w:sz="12" w:space="0" w:color="00000A"/>
            <w:insideH w:val="single" w:sz="12" w:space="0" w:color="00000A"/>
            <w:right w:val="nil"/>
            <w:insideV w:val="nil"/>
          </w:tcBorders>
          <w:shd w:fill="auto" w:val="clear"/>
          <w:tcMar>
            <w:left w:w="57" w:type="dxa"/>
          </w:tcMar>
          <w:vAlign w:val="center"/>
        </w:tcPr>
        <w:p>
          <w:pPr>
            <w:pStyle w:val="Header"/>
            <w:rPr>
              <w:sz w:val="16"/>
              <w:szCs w:val="16"/>
            </w:rPr>
          </w:pPr>
          <w:r>
            <w:rPr>
              <w:sz w:val="16"/>
              <w:szCs w:val="16"/>
            </w:rPr>
          </w:r>
        </w:p>
      </w:tc>
      <w:tc>
        <w:tcPr>
          <w:tcW w:w="1984" w:type="dxa"/>
          <w:gridSpan w:val="3"/>
          <w:vMerge w:val="continue"/>
          <w:tcBorders>
            <w:top w:val="single" w:sz="4" w:space="0" w:color="00000A"/>
            <w:left w:val="nil"/>
            <w:bottom w:val="single" w:sz="12" w:space="0" w:color="00000A"/>
            <w:insideH w:val="single" w:sz="12" w:space="0" w:color="00000A"/>
            <w:right w:val="single" w:sz="4" w:space="0" w:color="00000A"/>
            <w:insideV w:val="single" w:sz="4" w:space="0" w:color="00000A"/>
          </w:tcBorders>
          <w:shd w:fill="auto" w:val="clear"/>
          <w:vAlign w:val="center"/>
        </w:tcPr>
        <w:p>
          <w:pPr>
            <w:pStyle w:val="Header"/>
            <w:rPr>
              <w:sz w:val="16"/>
              <w:szCs w:val="16"/>
            </w:rPr>
          </w:pPr>
          <w:r>
            <w:rPr>
              <w:sz w:val="16"/>
              <w:szCs w:val="16"/>
            </w:rPr>
          </w:r>
        </w:p>
      </w:tc>
      <w:tc>
        <w:tcPr>
          <w:tcW w:w="1133" w:type="dxa"/>
          <w:tcBorders>
            <w:top w:val="nil"/>
            <w:left w:val="single" w:sz="4" w:space="0" w:color="00000A"/>
            <w:bottom w:val="single" w:sz="12" w:space="0" w:color="00000A"/>
            <w:insideH w:val="single" w:sz="12" w:space="0" w:color="00000A"/>
            <w:right w:val="single" w:sz="4" w:space="0" w:color="00000A"/>
            <w:insideV w:val="single" w:sz="4" w:space="0" w:color="00000A"/>
          </w:tcBorders>
          <w:shd w:fill="auto" w:val="clear"/>
          <w:tcMar>
            <w:left w:w="67" w:type="dxa"/>
          </w:tcMar>
        </w:tcPr>
        <w:p>
          <w:pPr>
            <w:pStyle w:val="Normal"/>
            <w:jc w:val="center"/>
            <w:rPr>
              <w:rFonts w:ascii="Arial" w:hAnsi="Arial"/>
              <w:b/>
              <w:bCs/>
            </w:rPr>
          </w:pPr>
          <w:r>
            <w:rPr>
              <w:rFonts w:ascii="Arial" w:hAnsi="Arial"/>
              <w:b/>
              <w:bCs/>
            </w:rPr>
            <w:t>1305</w:t>
          </w:r>
        </w:p>
      </w:tc>
      <w:tc>
        <w:tcPr>
          <w:tcW w:w="3119" w:type="dxa"/>
          <w:tcBorders>
            <w:top w:val="nil"/>
            <w:left w:val="single" w:sz="4" w:space="0" w:color="00000A"/>
            <w:bottom w:val="single" w:sz="12" w:space="0" w:color="00000A"/>
            <w:insideH w:val="single" w:sz="12" w:space="0" w:color="00000A"/>
            <w:right w:val="single" w:sz="4" w:space="0" w:color="00000A"/>
            <w:insideV w:val="single" w:sz="4" w:space="0" w:color="00000A"/>
          </w:tcBorders>
          <w:shd w:fill="auto" w:val="clear"/>
          <w:tcMar>
            <w:left w:w="23" w:type="dxa"/>
            <w:right w:w="28" w:type="dxa"/>
          </w:tcMar>
        </w:tcPr>
        <w:p>
          <w:pPr>
            <w:pStyle w:val="Normal"/>
            <w:ind w:left="-28" w:right="115" w:firstLine="28"/>
            <w:jc w:val="center"/>
            <w:rPr>
              <w:rFonts w:ascii="Arial Narrow" w:hAnsi="Arial Narrow"/>
              <w:sz w:val="20"/>
            </w:rPr>
          </w:pPr>
          <w:r>
            <w:rPr>
              <w:rFonts w:ascii="Arial Narrow" w:hAnsi="Arial Narrow"/>
              <w:sz w:val="20"/>
            </w:rPr>
            <w:t>PÕHIPROJEKT</w:t>
          </w:r>
        </w:p>
      </w:tc>
      <w:tc>
        <w:tcPr>
          <w:tcW w:w="1276" w:type="dxa"/>
          <w:tcBorders>
            <w:top w:val="nil"/>
            <w:left w:val="single" w:sz="4" w:space="0" w:color="00000A"/>
            <w:bottom w:val="single" w:sz="12" w:space="0" w:color="00000A"/>
            <w:insideH w:val="single" w:sz="12" w:space="0" w:color="00000A"/>
            <w:right w:val="single" w:sz="4" w:space="0" w:color="00000A"/>
            <w:insideV w:val="single" w:sz="4" w:space="0" w:color="00000A"/>
          </w:tcBorders>
          <w:shd w:fill="auto" w:val="clear"/>
          <w:tcMar>
            <w:left w:w="67" w:type="dxa"/>
          </w:tcMar>
        </w:tcPr>
        <w:p>
          <w:pPr>
            <w:pStyle w:val="Normal"/>
            <w:ind w:left="-28" w:right="115" w:firstLine="28"/>
            <w:jc w:val="center"/>
            <w:rPr>
              <w:rFonts w:ascii="Arial Narrow" w:hAnsi="Arial Narrow"/>
              <w:b/>
            </w:rPr>
          </w:pPr>
          <w:r>
            <w:rPr>
              <w:rFonts w:ascii="Arial Narrow" w:hAnsi="Arial Narrow"/>
              <w:b/>
            </w:rPr>
            <w:t>ET-C</w:t>
          </w:r>
        </w:p>
      </w:tc>
      <w:tc>
        <w:tcPr>
          <w:tcW w:w="1282" w:type="dxa"/>
          <w:gridSpan w:val="2"/>
          <w:tcBorders>
            <w:top w:val="nil"/>
            <w:left w:val="single" w:sz="4" w:space="0" w:color="00000A"/>
            <w:bottom w:val="single" w:sz="12" w:space="0" w:color="00000A"/>
            <w:insideH w:val="single" w:sz="12" w:space="0" w:color="00000A"/>
            <w:right w:val="single" w:sz="12" w:space="0" w:color="00000A"/>
            <w:insideV w:val="single" w:sz="12" w:space="0" w:color="00000A"/>
          </w:tcBorders>
          <w:shd w:fill="auto" w:val="clear"/>
          <w:tcMar>
            <w:left w:w="67" w:type="dxa"/>
          </w:tcMar>
        </w:tcPr>
        <w:p>
          <w:pPr>
            <w:pStyle w:val="Normal"/>
            <w:jc w:val="center"/>
            <w:rPr>
              <w:rFonts w:ascii="Arial Narrow" w:hAnsi="Arial Narrow"/>
            </w:rPr>
          </w:pPr>
          <w:r>
            <w:rPr>
              <w:rFonts w:ascii="Arial Narrow" w:hAnsi="Arial Narrow"/>
            </w:rPr>
            <w:t>a</w:t>
          </w:r>
        </w:p>
      </w:tc>
    </w:tr>
  </w:tbl>
  <w:p>
    <w:pPr>
      <w:pStyle w:val="Header"/>
      <w:rPr>
        <w:sz w:val="16"/>
        <w:szCs w:val="16"/>
      </w:rPr>
    </w:pPr>
    <w:r>
      <w:rPr>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644"/>
        </w:tabs>
        <w:ind w:left="567" w:hanging="283"/>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color w:val="00000A"/>
      </w:rPr>
    </w:lvl>
    <w:lvl w:ilvl="3">
      <w:start w:val="1"/>
      <w:numFmt w:val="decimal"/>
      <w:lvlText w:val="%1.%2.%3.%4"/>
      <w:lvlJc w:val="left"/>
      <w:pPr>
        <w:ind w:left="1080" w:hanging="720"/>
      </w:pPr>
      <w:rPr>
        <w:b w:val="false"/>
      </w:rPr>
    </w:lvl>
    <w:lvl w:ilvl="4">
      <w:start w:val="1"/>
      <w:numFmt w:val="decimal"/>
      <w:lvlText w:val="%1.%2.%3.%4.%5"/>
      <w:lvlJc w:val="left"/>
      <w:pPr>
        <w:ind w:left="1506"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505" w:hanging="705"/>
      </w:pPr>
      <w:rPr>
        <w:rFonts w:ascii="Times New Roman" w:hAnsi="Times New Roman" w:cs="Times New Roman"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decimal"/>
      <w:lvlText w:val="%1."/>
      <w:lvlJc w:val="left"/>
      <w:pPr>
        <w:tabs>
          <w:tab w:val="num" w:pos="851"/>
        </w:tabs>
        <w:ind w:left="7372" w:hanging="7372"/>
      </w:pPr>
      <w:rPr>
        <w:color w:val="00000A"/>
        <w:sz w:val="24"/>
        <w:i w:val="false"/>
        <w:u w:val="none"/>
        <w:b/>
      </w:rPr>
    </w:lvl>
    <w:lvl w:ilvl="1">
      <w:start w:val="1"/>
      <w:numFmt w:val="decimal"/>
      <w:lvlText w:val="%1.%2."/>
      <w:lvlJc w:val="left"/>
      <w:pPr>
        <w:tabs>
          <w:tab w:val="num" w:pos="851"/>
        </w:tabs>
        <w:ind w:left="851" w:hanging="851"/>
      </w:pPr>
      <w:rPr>
        <w:smallCaps w:val="false"/>
        <w:caps w:val="false"/>
        <w:color w:val="000000"/>
        <w:dstrike w:val="false"/>
        <w:strike w:val="false"/>
        <w:vertAlign w:val="baseline"/>
        <w:position w:val="0"/>
        <w:sz w:val="22"/>
        <w:spacing w:val="0"/>
        <w:i w:val="false"/>
        <w:u w:val="none"/>
        <w:b/>
        <w:iCs w:val="false"/>
        <w:bCs w:val="false"/>
        <w:em w:val="none"/>
        <w:vanish w:val="false"/>
      </w:rPr>
    </w:lvl>
    <w:lvl w:ilvl="2">
      <w:start w:val="1"/>
      <w:numFmt w:val="decimal"/>
      <w:lvlText w:val="%1.%2.%3."/>
      <w:lvlJc w:val="left"/>
      <w:pPr>
        <w:tabs>
          <w:tab w:val="num" w:pos="851"/>
        </w:tabs>
        <w:ind w:left="0" w:hanging="0"/>
      </w:pPr>
      <w:rPr/>
    </w:lvl>
    <w:lvl w:ilvl="3">
      <w:start w:val="1"/>
      <w:numFmt w:val="decimal"/>
      <w:lvlText w:val="%1.%2.%3.%4."/>
      <w:lvlJc w:val="left"/>
      <w:pPr>
        <w:tabs>
          <w:tab w:val="num" w:pos="1430"/>
        </w:tabs>
        <w:ind w:left="1430" w:hanging="143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5">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Batang" w:hAnsi="Batang" w:cs="Batang"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decimal"/>
      <w:lvlText w:val="%1."/>
      <w:lvlJc w:val="left"/>
      <w:pPr>
        <w:tabs>
          <w:tab w:val="num" w:pos="567"/>
        </w:tabs>
        <w:ind w:left="567" w:hanging="567"/>
      </w:pPr>
      <w:rPr>
        <w:smallCaps w:val="false"/>
        <w:caps w:val="false"/>
        <w:color w:val="00000A"/>
        <w:dstrike w:val="false"/>
        <w:strike w:val="false"/>
        <w:vertAlign w:val="baseline"/>
        <w:position w:val="0"/>
        <w:sz w:val="22"/>
        <w:sz w:val="22"/>
        <w:spacing w:val="0"/>
        <w:i w:val="false"/>
        <w:u w:val="none"/>
        <w:b/>
        <w:szCs w:val="22"/>
        <w:iCs w:val="false"/>
        <w:bCs w:val="false"/>
        <w:em w:val="none"/>
        <w:w w:val="0"/>
        <w:vanish w:val="false"/>
      </w:rPr>
    </w:lvl>
    <w:lvl w:ilvl="1">
      <w:start w:val="1"/>
      <w:numFmt w:val="decimal"/>
      <w:lvlText w:val="%1.%2."/>
      <w:lvlJc w:val="left"/>
      <w:pPr>
        <w:tabs>
          <w:tab w:val="num" w:pos="567"/>
        </w:tabs>
        <w:ind w:left="567" w:hanging="567"/>
      </w:pPr>
      <w:rPr>
        <w:smallCaps w:val="false"/>
        <w:caps w:val="false"/>
        <w:color w:val="000000"/>
        <w:dstrike w:val="false"/>
        <w:strike w:val="false"/>
        <w:vertAlign w:val="baseline"/>
        <w:position w:val="0"/>
        <w:sz w:val="22"/>
        <w:spacing w:val="0"/>
        <w:i w:val="false"/>
        <w:u w:val="none"/>
        <w:b/>
        <w:iCs w:val="false"/>
        <w:bCs w:val="false"/>
        <w:em w:val="none"/>
        <w:vanish w:val="fals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lvl w:ilvl="0">
      <w:start w:val="1"/>
      <w:numFmt w:val="decimal"/>
      <w:lvlText w:val="%1."/>
      <w:lvlJc w:val="left"/>
      <w:pPr>
        <w:tabs>
          <w:tab w:val="num" w:pos="567"/>
        </w:tabs>
        <w:ind w:left="567" w:hanging="567"/>
      </w:pPr>
      <w:rPr>
        <w:smallCaps w:val="false"/>
        <w:caps w:val="false"/>
        <w:color w:val="00000A"/>
        <w:dstrike w:val="false"/>
        <w:strike w:val="false"/>
        <w:vertAlign w:val="baseline"/>
        <w:position w:val="0"/>
        <w:sz w:val="22"/>
        <w:sz w:val="22"/>
        <w:spacing w:val="0"/>
        <w:i w:val="false"/>
        <w:u w:val="none"/>
        <w:b/>
        <w:szCs w:val="22"/>
        <w:iCs w:val="false"/>
        <w:bCs w:val="false"/>
        <w:em w:val="none"/>
        <w:w w:val="0"/>
        <w:vanish w:val="false"/>
      </w:rPr>
    </w:lvl>
    <w:lvl w:ilvl="1">
      <w:start w:val="1"/>
      <w:numFmt w:val="decimal"/>
      <w:lvlText w:val="%1.%2."/>
      <w:lvlJc w:val="left"/>
      <w:pPr>
        <w:tabs>
          <w:tab w:val="num" w:pos="567"/>
        </w:tabs>
        <w:ind w:left="567" w:hanging="567"/>
      </w:pPr>
      <w:rPr>
        <w:smallCaps w:val="false"/>
        <w:caps w:val="false"/>
        <w:color w:val="000000"/>
        <w:dstrike w:val="false"/>
        <w:strike w:val="false"/>
        <w:vertAlign w:val="baseline"/>
        <w:position w:val="0"/>
        <w:sz w:val="22"/>
        <w:spacing w:val="0"/>
        <w:i w:val="false"/>
        <w:u w:val="none"/>
        <w:b/>
        <w:iCs w:val="false"/>
        <w:bCs w:val="false"/>
        <w:em w:val="none"/>
        <w:vanish w:val="fals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w:docDefaults>
    <w:rPrDefault>
      <w:rPr>
        <w:rFonts w:ascii="Calibri" w:hAnsi="Calibri" w:eastAsia="Times New Roman" w:cs="Times New Roman"/>
        <w:sz w:val="22"/>
        <w:szCs w:val="22"/>
        <w:lang w:val="et-EE" w:eastAsia="et-EE" w:bidi="ar-SA"/>
      </w:rPr>
    </w:rPrDefault>
    <w:pPrDefault>
      <w:pPr/>
    </w:pPrDefault>
  </w:docDefaults>
  <w:latentStyles w:count="267" w:defQFormat="0" w:defUnhideWhenUsed="1" w:defSemiHidden="1" w:defUIPriority="0" w:defLockedState="0">
    <w:lsdException w:qFormat="1" w:unhideWhenUsed="0" w:semiHidden="0" w:name="Normal"/>
    <w:lsdException w:qFormat="1" w:unhideWhenUsed="0" w:semiHidden="0" w:name="heading 1"/>
    <w:lsdException w:qFormat="1" w:unhideWhenUsed="0" w:semiHidden="0" w:name="heading 2"/>
    <w:lsdException w:qFormat="1" w:unhideWhenUsed="0" w:semiHidden="0" w:name="heading 3"/>
    <w:lsdException w:qFormat="1" w:unhideWhenUsed="0" w:semiHidden="0" w:name="heading 4"/>
    <w:lsdException w:qFormat="1" w:unhideWhenUsed="0" w:semiHidden="0" w:name="heading 5"/>
    <w:lsdException w:qFormat="1" w:unhideWhenUsed="0" w:semiHidden="0" w:name="heading 6"/>
    <w:lsdException w:qFormat="1" w:name="heading 7"/>
    <w:lsdException w:qFormat="1" w:name="heading 8"/>
    <w:lsdException w:qFormat="1" w:name="heading 9"/>
    <w:lsdException w:uiPriority="39" w:name="toc 1"/>
    <w:lsdException w:uiPriority="39" w:name="toc 2"/>
    <w:lsdException w:uiPriority="39" w:name="toc 3"/>
    <w:lsdException w:uiPriority="99" w:name="header"/>
    <w:lsdException w:qFormat="1" w:name="caption"/>
    <w:lsdException w:unhideWhenUsed="0" w:semiHidden="0" w:name="List Number"/>
    <w:lsdException w:unhideWhenUsed="0" w:semiHidden="0" w:name="List 4"/>
    <w:lsdException w:unhideWhenUsed="0" w:semiHidden="0" w:name="List 5"/>
    <w:lsdException w:qFormat="1" w:unhideWhenUsed="0" w:semiHidden="0" w:name="Title"/>
    <w:lsdException w:qFormat="1" w:unhideWhenUsed="0" w:semiHidden="0" w:name="Subtitle"/>
    <w:lsdException w:unhideWhenUsed="0" w:semiHidden="0" w:name="Salutation"/>
    <w:lsdException w:unhideWhenUsed="0" w:semiHidden="0" w:name="Date"/>
    <w:lsdException w:unhideWhenUsed="0" w:semiHidden="0" w:name="Body Text First Indent"/>
    <w:lsdException w:uiPriority="99" w:name="Hyperlink"/>
    <w:lsdException w:qFormat="1" w:unhideWhenUsed="0" w:semiHidden="0" w:name="Strong"/>
    <w:lsdException w:qFormat="1" w:unhideWhenUsed="0" w:semiHidden="0" w:name="Emphasis"/>
    <w:lsdException w:uiPriority="99" w:name="Plain Text"/>
    <w:lsdException w:unhideWhenUsed="0" w:semiHidden="0" w:name="Table Grid"/>
    <w:lsdException w:unhideWhenUsed="0" w:uiPriority="99" w:name="Placeholder Text"/>
    <w:lsdException w:qFormat="1" w:unhideWhenUsed="0" w:semiHidden="0"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uiPriority="99" w:name="Revision"/>
    <w:lsdException w:qFormat="1" w:unhideWhenUsed="0" w:semiHidden="0"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99" w:name="TOC Heading"/>
  </w:latentStyles>
  <w:style w:type="paragraph" w:styleId="Normal" w:default="1">
    <w:name w:val="Normal"/>
    <w:qFormat/>
    <w:rsid w:val="004745b7"/>
    <w:pPr>
      <w:widowControl/>
      <w:suppressAutoHyphens w:val="true"/>
      <w:bidi w:val="0"/>
      <w:jc w:val="left"/>
    </w:pPr>
    <w:rPr>
      <w:rFonts w:ascii="Calibri" w:hAnsi="Calibri" w:eastAsia="Times New Roman" w:cs="Times New Roman"/>
      <w:color w:val="auto"/>
      <w:sz w:val="22"/>
      <w:szCs w:val="22"/>
      <w:lang w:eastAsia="en-US" w:val="et-EE" w:bidi="ar-SA"/>
    </w:rPr>
  </w:style>
  <w:style w:type="paragraph" w:styleId="Heading1">
    <w:name w:val="Heading 1"/>
    <w:qFormat/>
    <w:rsid w:val="00a127a6"/>
    <w:basedOn w:val="Normal"/>
    <w:next w:val="Normal"/>
    <w:pPr>
      <w:keepNext/>
      <w:tabs>
        <w:tab w:val="left" w:pos="567" w:leader="none"/>
      </w:tabs>
      <w:jc w:val="both"/>
      <w:outlineLvl w:val="0"/>
    </w:pPr>
    <w:rPr>
      <w:rFonts w:ascii="Arial" w:hAnsi="Arial"/>
      <w:b/>
      <w:caps/>
      <w:lang w:val="en-GB"/>
    </w:rPr>
  </w:style>
  <w:style w:type="paragraph" w:styleId="Heading2">
    <w:name w:val="Heading 2"/>
    <w:qFormat/>
    <w:rsid w:val="00a127a6"/>
    <w:basedOn w:val="Normal"/>
    <w:next w:val="Normal"/>
    <w:pPr>
      <w:keepNext/>
      <w:tabs>
        <w:tab w:val="left" w:pos="567" w:leader="none"/>
      </w:tabs>
      <w:jc w:val="both"/>
      <w:outlineLvl w:val="1"/>
    </w:pPr>
    <w:rPr>
      <w:b/>
      <w:lang w:val="en-GB"/>
    </w:rPr>
  </w:style>
  <w:style w:type="paragraph" w:styleId="Heading3">
    <w:name w:val="Heading 3"/>
    <w:qFormat/>
    <w:link w:val="Heading3Char"/>
    <w:rsid w:val="00a127a6"/>
    <w:basedOn w:val="Normal"/>
    <w:next w:val="Normal"/>
    <w:pPr>
      <w:keepNext/>
      <w:jc w:val="both"/>
      <w:outlineLvl w:val="2"/>
    </w:pPr>
    <w:rPr>
      <w:b/>
      <w:lang w:val="en-GB"/>
    </w:rPr>
  </w:style>
  <w:style w:type="paragraph" w:styleId="Heading4">
    <w:name w:val="Heading 4"/>
    <w:qFormat/>
    <w:rsid w:val="00a127a6"/>
    <w:basedOn w:val="Normal"/>
    <w:next w:val="Normal"/>
    <w:pPr>
      <w:keepNext/>
      <w:spacing w:before="240" w:after="60"/>
      <w:outlineLvl w:val="3"/>
    </w:pPr>
    <w:rPr>
      <w:b/>
      <w:bCs/>
      <w:sz w:val="28"/>
      <w:szCs w:val="28"/>
    </w:rPr>
  </w:style>
  <w:style w:type="paragraph" w:styleId="Heading5">
    <w:name w:val="Heading 5"/>
    <w:qFormat/>
    <w:rsid w:val="00a127a6"/>
    <w:basedOn w:val="Normal"/>
    <w:next w:val="Normal"/>
    <w:pPr>
      <w:keepNext/>
      <w:jc w:val="both"/>
      <w:outlineLvl w:val="4"/>
    </w:pPr>
    <w:rPr>
      <w:i/>
      <w:color w:val="FF0000"/>
      <w:lang w:val="en-GB"/>
    </w:rPr>
  </w:style>
  <w:style w:type="paragraph" w:styleId="Heading6">
    <w:name w:val="Heading 6"/>
    <w:qFormat/>
    <w:rsid w:val="00a127a6"/>
    <w:basedOn w:val="Normal"/>
    <w:next w:val="Normal"/>
    <w:pPr>
      <w:keepNext/>
      <w:outlineLvl w:val="5"/>
    </w:pPr>
    <w:rPr>
      <w:rFonts w:ascii="Arial" w:hAnsi="Arial" w:cs="Arial"/>
      <w:b/>
      <w:bCs/>
      <w:lang w:val="en-GB"/>
    </w:rPr>
  </w:style>
  <w:style w:type="paragraph" w:styleId="Heading7">
    <w:name w:val="Heading 7"/>
    <w:qFormat/>
    <w:rsid w:val="00a127a6"/>
    <w:basedOn w:val="Normal"/>
    <w:next w:val="Normal"/>
    <w:pPr>
      <w:keepNext/>
      <w:ind w:left="426" w:right="0" w:hanging="0"/>
      <w:outlineLvl w:val="6"/>
    </w:pPr>
    <w:rPr>
      <w:color w:val="0000FF"/>
    </w:rPr>
  </w:style>
  <w:style w:type="paragraph" w:styleId="Heading8">
    <w:name w:val="Heading 8"/>
    <w:qFormat/>
    <w:rsid w:val="00a127a6"/>
    <w:basedOn w:val="Normal"/>
    <w:next w:val="Normal"/>
    <w:pPr>
      <w:keepNext/>
      <w:spacing w:lineRule="auto" w:line="360"/>
      <w:ind w:left="0" w:right="-108" w:hanging="0"/>
      <w:jc w:val="both"/>
      <w:outlineLvl w:val="7"/>
    </w:pPr>
    <w:rPr/>
  </w:style>
  <w:style w:type="paragraph" w:styleId="Heading9">
    <w:name w:val="Heading 9"/>
    <w:qFormat/>
    <w:rsid w:val="00a127a6"/>
    <w:basedOn w:val="Normal"/>
    <w:next w:val="Normal"/>
    <w:pPr>
      <w:keepNext/>
      <w:tabs>
        <w:tab w:val="left" w:pos="567" w:leader="none"/>
        <w:tab w:val="left" w:pos="851" w:leader="none"/>
      </w:tabs>
      <w:ind w:left="851" w:right="-284" w:hanging="0"/>
      <w:jc w:val="both"/>
      <w:outlineLvl w:val="8"/>
    </w:pPr>
    <w:rPr>
      <w:i/>
      <w:iCs/>
      <w:color w:val="FF0000"/>
      <w:lang w:val="en-GB"/>
    </w:rPr>
  </w:style>
  <w:style w:type="character" w:styleId="DefaultParagraphFont" w:default="1">
    <w:name w:val="Default Paragraph Font"/>
    <w:uiPriority w:val="1"/>
    <w:semiHidden/>
    <w:unhideWhenUsed/>
    <w:rPr/>
  </w:style>
  <w:style w:type="character" w:styleId="Heading3Char" w:customStyle="1">
    <w:name w:val="Heading 3 Char"/>
    <w:link w:val="Heading3"/>
    <w:rsid w:val="00a127a6"/>
    <w:basedOn w:val="DefaultParagraphFont"/>
    <w:rPr>
      <w:b/>
      <w:sz w:val="24"/>
      <w:lang w:val="en-GB" w:eastAsia="en-US" w:bidi="ar-SA"/>
    </w:rPr>
  </w:style>
  <w:style w:type="character" w:styleId="BodyTextChar" w:customStyle="1">
    <w:name w:val="Body Text Char"/>
    <w:link w:val="BodyText"/>
    <w:rsid w:val="00a127a6"/>
    <w:basedOn w:val="DefaultParagraphFont"/>
    <w:rPr>
      <w:lang w:val="et-EE" w:eastAsia="en-US" w:bidi="ar-SA"/>
    </w:rPr>
  </w:style>
  <w:style w:type="character" w:styleId="Pagenumber">
    <w:name w:val="page number"/>
    <w:rsid w:val="00a127a6"/>
    <w:basedOn w:val="DefaultParagraphFont"/>
    <w:rPr/>
  </w:style>
  <w:style w:type="character" w:styleId="XXuChar" w:customStyle="1">
    <w:name w:val="X.X.u Char"/>
    <w:uiPriority w:val="99"/>
    <w:link w:val="XXu"/>
    <w:rsid w:val="00fa5a67"/>
    <w:basedOn w:val="DefaultParagraphFont"/>
    <w:rPr>
      <w:rFonts w:cs="Arial"/>
      <w:b/>
      <w:lang w:eastAsia="ar-SA"/>
    </w:rPr>
  </w:style>
  <w:style w:type="character" w:styleId="XXXMrk" w:customStyle="1">
    <w:name w:val="X.X.X. Märk"/>
    <w:uiPriority w:val="99"/>
    <w:link w:val="XXX"/>
    <w:rsid w:val="00fa5a67"/>
    <w:basedOn w:val="DefaultParagraphFont"/>
    <w:rPr>
      <w:rFonts w:cs="Arial"/>
      <w:b/>
      <w:lang w:eastAsia="ar-SA"/>
    </w:rPr>
  </w:style>
  <w:style w:type="character" w:styleId="InternetLink">
    <w:name w:val="Internet Link"/>
    <w:uiPriority w:val="99"/>
    <w:rsid w:val="00a127a6"/>
    <w:basedOn w:val="DefaultParagraphFont"/>
    <w:rPr>
      <w:color w:val="0000FF"/>
      <w:u w:val="single"/>
      <w:lang w:val="zxx" w:eastAsia="zxx" w:bidi="zxx"/>
    </w:rPr>
  </w:style>
  <w:style w:type="character" w:styleId="FollowedHyperlink">
    <w:name w:val="FollowedHyperlink"/>
    <w:rsid w:val="00a127a6"/>
    <w:basedOn w:val="DefaultParagraphFont"/>
    <w:rPr>
      <w:color w:val="800080"/>
      <w:u w:val="single"/>
    </w:rPr>
  </w:style>
  <w:style w:type="character" w:styleId="Laad12pt" w:customStyle="1">
    <w:name w:val="Laad 12 pt"/>
    <w:rsid w:val="00a127a6"/>
    <w:basedOn w:val="DefaultParagraphFont"/>
    <w:rPr>
      <w:sz w:val="24"/>
    </w:rPr>
  </w:style>
  <w:style w:type="character" w:styleId="KehatekstMrk" w:customStyle="1">
    <w:name w:val="Kehatekst Märk"/>
    <w:rsid w:val="00a127a6"/>
    <w:basedOn w:val="DefaultParagraphFont"/>
    <w:rPr>
      <w:lang w:val="et-EE" w:eastAsia="en-US" w:bidi="ar-SA"/>
    </w:rPr>
  </w:style>
  <w:style w:type="character" w:styleId="Pealkiri3Mrk" w:customStyle="1">
    <w:name w:val="Pealkiri 3 Märk"/>
    <w:rsid w:val="00a127a6"/>
    <w:basedOn w:val="DefaultParagraphFont"/>
    <w:rPr>
      <w:b/>
      <w:sz w:val="24"/>
      <w:lang w:val="en-GB" w:eastAsia="en-US" w:bidi="ar-SA"/>
    </w:rPr>
  </w:style>
  <w:style w:type="character" w:styleId="EndnoteTextChar" w:customStyle="1">
    <w:name w:val="Endnote Text Char"/>
    <w:link w:val="EndnoteText"/>
    <w:rsid w:val="00be0960"/>
    <w:basedOn w:val="DefaultParagraphFont"/>
    <w:rPr>
      <w:sz w:val="20"/>
      <w:szCs w:val="20"/>
      <w:lang w:eastAsia="en-US"/>
    </w:rPr>
  </w:style>
  <w:style w:type="character" w:styleId="Endnotereference">
    <w:name w:val="endnote reference"/>
    <w:rsid w:val="00be0960"/>
    <w:basedOn w:val="DefaultParagraphFont"/>
    <w:rPr>
      <w:vertAlign w:val="superscript"/>
    </w:rPr>
  </w:style>
  <w:style w:type="character" w:styleId="FootnoteTextChar" w:customStyle="1">
    <w:name w:val="Footnote Text Char"/>
    <w:link w:val="FootnoteText"/>
    <w:rsid w:val="00be0960"/>
    <w:basedOn w:val="DefaultParagraphFont"/>
    <w:rPr>
      <w:sz w:val="20"/>
      <w:szCs w:val="20"/>
      <w:lang w:eastAsia="en-US"/>
    </w:rPr>
  </w:style>
  <w:style w:type="character" w:styleId="Footnotereference">
    <w:name w:val="footnote reference"/>
    <w:rsid w:val="00be0960"/>
    <w:basedOn w:val="DefaultParagraphFont"/>
    <w:rPr>
      <w:vertAlign w:val="superscript"/>
    </w:rPr>
  </w:style>
  <w:style w:type="character" w:styleId="Emphasis">
    <w:name w:val="Emphasis"/>
    <w:qFormat/>
    <w:rsid w:val="004f2d1a"/>
    <w:rPr>
      <w:i/>
      <w:iCs/>
    </w:rPr>
  </w:style>
  <w:style w:type="character" w:styleId="PlainTextChar" w:customStyle="1">
    <w:name w:val="Plain Text Char"/>
    <w:uiPriority w:val="99"/>
    <w:link w:val="PlainText"/>
    <w:rsid w:val="0013082d"/>
    <w:basedOn w:val="DefaultParagraphFont"/>
    <w:rPr>
      <w:rFonts w:ascii="Consolas" w:hAnsi="Consolas" w:eastAsia="SimSun"/>
      <w:sz w:val="21"/>
      <w:szCs w:val="21"/>
      <w:lang w:val="en-US" w:eastAsia="zh-CN"/>
    </w:rPr>
  </w:style>
  <w:style w:type="character" w:styleId="BodymChar" w:customStyle="1">
    <w:name w:val="Bodym Char"/>
    <w:uiPriority w:val="99"/>
    <w:link w:val="Bodym"/>
    <w:locked/>
    <w:rsid w:val="0013082d"/>
    <w:basedOn w:val="DefaultParagraphFont"/>
    <w:rPr>
      <w:lang w:eastAsia="en-US"/>
    </w:rPr>
  </w:style>
  <w:style w:type="character" w:styleId="St1" w:customStyle="1">
    <w:name w:val="st1"/>
    <w:rsid w:val="007173b0"/>
    <w:basedOn w:val="DefaultParagraphFont"/>
    <w:rPr/>
  </w:style>
  <w:style w:type="character" w:styleId="ListLabel1">
    <w:name w:val="ListLabel 1"/>
    <w:rPr>
      <w:rFonts w:cs="Times New Roman"/>
    </w:rPr>
  </w:style>
  <w:style w:type="character" w:styleId="ListLabel2">
    <w:name w:val="ListLabel 2"/>
    <w:rPr>
      <w:rFonts w:cs="Times New Roman"/>
      <w:color w:val="00000A"/>
    </w:rPr>
  </w:style>
  <w:style w:type="character" w:styleId="ListLabel3">
    <w:name w:val="ListLabel 3"/>
    <w:rPr>
      <w:rFonts w:cs="Times New Roman"/>
      <w:b w:val="false"/>
    </w:rPr>
  </w:style>
  <w:style w:type="character" w:styleId="ListLabel4">
    <w:name w:val="ListLabel 4"/>
    <w:rPr>
      <w:rFonts w:cs="Courier New"/>
    </w:rPr>
  </w:style>
  <w:style w:type="character" w:styleId="ListLabel5">
    <w:name w:val="ListLabel 5"/>
    <w:rPr>
      <w:rFonts w:eastAsia="Times New Roman" w:cs="Times New Roman"/>
    </w:rPr>
  </w:style>
  <w:style w:type="character" w:styleId="ListLabel6">
    <w:name w:val="ListLabel 6"/>
    <w:rPr>
      <w:rFonts w:cs="Times New Roman"/>
      <w:b/>
      <w:i w:val="false"/>
      <w:color w:val="00000A"/>
      <w:sz w:val="24"/>
      <w:u w:val="none"/>
    </w:rPr>
  </w:style>
  <w:style w:type="character" w:styleId="ListLabel7">
    <w:name w:val="ListLabel 7"/>
    <w:rPr>
      <w:b/>
      <w:bCs w:val="false"/>
      <w:i w:val="false"/>
      <w:iCs w:val="false"/>
      <w:caps w:val="false"/>
      <w:smallCaps w:val="false"/>
      <w:strike w:val="false"/>
      <w:dstrike w:val="false"/>
      <w:vanish w:val="false"/>
      <w:color w:val="000000"/>
      <w:spacing w:val="0"/>
      <w:position w:val="0"/>
      <w:sz w:val="22"/>
      <w:u w:val="none"/>
      <w:vertAlign w:val="baseline"/>
      <w:em w:val="none"/>
    </w:rPr>
  </w:style>
  <w:style w:type="character" w:styleId="ListLabel8">
    <w:name w:val="ListLabel 8"/>
    <w:rPr>
      <w:rFonts w:eastAsia="Batang" w:cs="Batang"/>
    </w:rPr>
  </w:style>
  <w:style w:type="character" w:styleId="ListLabel9">
    <w:name w:val="ListLabel 9"/>
    <w:rPr>
      <w:rFonts w:cs="Times New Roman"/>
      <w:b/>
      <w:bCs w:val="false"/>
      <w:i w:val="false"/>
      <w:iCs w:val="false"/>
      <w:caps w:val="false"/>
      <w:smallCaps w:val="false"/>
      <w:strike w:val="false"/>
      <w:dstrike w:val="false"/>
      <w:vanish w:val="false"/>
      <w:color w:val="00000A"/>
      <w:spacing w:val="0"/>
      <w:w w:val="0"/>
      <w:position w:val="0"/>
      <w:sz w:val="22"/>
      <w:sz w:val="22"/>
      <w:szCs w:val="22"/>
      <w:u w:val="none"/>
      <w:vertAlign w:val="baseline"/>
      <w:em w:val="none"/>
    </w:rPr>
  </w:style>
  <w:style w:type="character" w:styleId="ListLabel10">
    <w:name w:val="ListLabel 10"/>
    <w:rPr>
      <w:rFonts w:cs="Times New Roman"/>
      <w:b/>
      <w:bCs w:val="false"/>
      <w:i w:val="false"/>
      <w:iCs w:val="false"/>
      <w:caps w:val="false"/>
      <w:smallCaps w:val="false"/>
      <w:strike w:val="false"/>
      <w:dstrike w:val="false"/>
      <w:vanish w:val="false"/>
      <w:color w:val="000000"/>
      <w:spacing w:val="0"/>
      <w:position w:val="0"/>
      <w:sz w:val="22"/>
      <w:u w:val="none"/>
      <w:vertAlign w:val="baseline"/>
      <w:em w:val="none"/>
    </w:rPr>
  </w:style>
  <w:style w:type="character" w:styleId="IndexLink">
    <w:name w:val="Index Link"/>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customStyle="1">
    <w:name w:val="Text Body"/>
    <w:rsid w:val="00ec1cb8"/>
    <w:basedOn w:val="Normal"/>
    <w:pPr>
      <w:suppressAutoHyphens w:val="true"/>
      <w:spacing w:lineRule="auto" w:line="288" w:before="0" w:after="120"/>
    </w:pPr>
    <w:rPr>
      <w:color w:val="00000A"/>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customStyle="1">
    <w:name w:val="Index"/>
    <w:rsid w:val="004f6b1f"/>
    <w:basedOn w:val="Normal"/>
    <w:pPr>
      <w:suppressLineNumbers/>
      <w:suppressAutoHyphens w:val="true"/>
      <w:spacing w:before="120" w:after="120"/>
      <w:jc w:val="both"/>
    </w:pPr>
    <w:rPr>
      <w:rFonts w:cs="Tahoma"/>
      <w:szCs w:val="20"/>
      <w:lang w:eastAsia="ar-SA"/>
    </w:rPr>
  </w:style>
  <w:style w:type="paragraph" w:styleId="Header">
    <w:name w:val="Header"/>
    <w:uiPriority w:val="99"/>
    <w:rsid w:val="00a127a6"/>
    <w:basedOn w:val="Normal"/>
    <w:pPr>
      <w:tabs>
        <w:tab w:val="center" w:pos="4536" w:leader="none"/>
        <w:tab w:val="right" w:pos="9072" w:leader="none"/>
      </w:tabs>
    </w:pPr>
    <w:rPr/>
  </w:style>
  <w:style w:type="paragraph" w:styleId="Footer">
    <w:name w:val="Footer"/>
    <w:rsid w:val="00a127a6"/>
    <w:basedOn w:val="Normal"/>
    <w:pPr>
      <w:tabs>
        <w:tab w:val="center" w:pos="4536" w:leader="none"/>
        <w:tab w:val="right" w:pos="9072" w:leader="none"/>
      </w:tabs>
    </w:pPr>
    <w:rPr/>
  </w:style>
  <w:style w:type="paragraph" w:styleId="XXu" w:customStyle="1">
    <w:name w:val="X.X.u"/>
    <w:uiPriority w:val="99"/>
    <w:qFormat/>
    <w:link w:val="XXuChar"/>
    <w:rsid w:val="00fa5a67"/>
    <w:basedOn w:val="Normal"/>
    <w:pPr>
      <w:keepNext/>
      <w:numPr>
        <w:ilvl w:val="0"/>
        <w:numId w:val="10"/>
      </w:numPr>
      <w:tabs>
        <w:tab w:val="left" w:pos="851" w:leader="none"/>
      </w:tabs>
      <w:suppressAutoHyphens w:val="true"/>
      <w:spacing w:before="480" w:after="240"/>
      <w:jc w:val="both"/>
      <w:outlineLvl w:val="1"/>
    </w:pPr>
    <w:rPr>
      <w:rFonts w:cs="Arial"/>
      <w:b/>
      <w:lang w:eastAsia="ar-SA"/>
    </w:rPr>
  </w:style>
  <w:style w:type="paragraph" w:styleId="XXX" w:customStyle="1">
    <w:name w:val="X.X.X."/>
    <w:uiPriority w:val="99"/>
    <w:link w:val="XXXMrk"/>
    <w:rsid w:val="00fa5a67"/>
    <w:basedOn w:val="Normal"/>
    <w:pPr>
      <w:keepNext/>
      <w:numPr>
        <w:ilvl w:val="0"/>
        <w:numId w:val="10"/>
      </w:numPr>
      <w:tabs>
        <w:tab w:val="left" w:pos="851" w:leader="none"/>
      </w:tabs>
      <w:suppressAutoHyphens w:val="true"/>
      <w:spacing w:before="240" w:after="120"/>
      <w:jc w:val="both"/>
      <w:outlineLvl w:val="2"/>
    </w:pPr>
    <w:rPr>
      <w:rFonts w:cs="Arial"/>
      <w:b/>
      <w:lang w:eastAsia="ar-SA"/>
    </w:rPr>
  </w:style>
  <w:style w:type="paragraph" w:styleId="X" w:customStyle="1">
    <w:name w:val="X."/>
    <w:uiPriority w:val="99"/>
    <w:rsid w:val="00de0673"/>
    <w:pPr>
      <w:keepNext/>
      <w:widowControl/>
      <w:numPr>
        <w:ilvl w:val="0"/>
        <w:numId w:val="10"/>
      </w:numPr>
      <w:tabs>
        <w:tab w:val="left" w:pos="454" w:leader="none"/>
      </w:tabs>
      <w:suppressAutoHyphens w:val="true"/>
      <w:bidi w:val="0"/>
      <w:spacing w:before="720" w:after="240"/>
      <w:jc w:val="left"/>
      <w:outlineLvl w:val="0"/>
    </w:pPr>
    <w:rPr>
      <w:rFonts w:ascii="Calibri" w:hAnsi="Calibri" w:eastAsia="Times New Roman" w:cs="Times New Roman"/>
      <w:b/>
      <w:color w:val="auto"/>
      <w:sz w:val="22"/>
      <w:szCs w:val="22"/>
      <w:lang w:eastAsia="en-US" w:val="et-EE" w:bidi="ar-SA"/>
    </w:rPr>
  </w:style>
  <w:style w:type="paragraph" w:styleId="BodyText2">
    <w:name w:val="Body Text 2"/>
    <w:rsid w:val="00a127a6"/>
    <w:basedOn w:val="Normal"/>
    <w:pPr>
      <w:spacing w:lineRule="auto" w:line="480" w:before="0" w:after="120"/>
    </w:pPr>
    <w:rPr/>
  </w:style>
  <w:style w:type="paragraph" w:styleId="BodyText3">
    <w:name w:val="Body Text 3"/>
    <w:rsid w:val="00a127a6"/>
    <w:basedOn w:val="Normal"/>
    <w:pPr>
      <w:spacing w:before="0" w:after="120"/>
    </w:pPr>
    <w:rPr>
      <w:sz w:val="16"/>
      <w:szCs w:val="16"/>
    </w:rPr>
  </w:style>
  <w:style w:type="paragraph" w:styleId="TextBodyIndent">
    <w:name w:val="Text Body Indent"/>
    <w:rsid w:val="00a127a6"/>
    <w:basedOn w:val="Normal"/>
    <w:pPr>
      <w:spacing w:before="0" w:after="120"/>
      <w:ind w:left="283" w:right="0" w:hanging="0"/>
    </w:pPr>
    <w:rPr/>
  </w:style>
  <w:style w:type="paragraph" w:styleId="BodyTextIndent2">
    <w:name w:val="Body Text Indent 2"/>
    <w:rsid w:val="00a127a6"/>
    <w:basedOn w:val="Normal"/>
    <w:pPr>
      <w:spacing w:lineRule="auto" w:line="480" w:before="0" w:after="120"/>
      <w:ind w:left="283" w:right="0" w:hanging="0"/>
    </w:pPr>
    <w:rPr/>
  </w:style>
  <w:style w:type="paragraph" w:styleId="BodyTextIndent3">
    <w:name w:val="Body Text Indent 3"/>
    <w:rsid w:val="00a127a6"/>
    <w:basedOn w:val="Normal"/>
    <w:pPr>
      <w:spacing w:before="0" w:after="120"/>
      <w:ind w:left="283" w:right="0" w:hanging="0"/>
    </w:pPr>
    <w:rPr>
      <w:sz w:val="16"/>
      <w:szCs w:val="16"/>
    </w:rPr>
  </w:style>
  <w:style w:type="paragraph" w:styleId="WfxRecipient" w:customStyle="1">
    <w:name w:val="wfxRecipient"/>
    <w:rsid w:val="00a127a6"/>
    <w:basedOn w:val="Normal"/>
    <w:pPr/>
    <w:rPr>
      <w:lang w:val="en-GB"/>
    </w:rPr>
  </w:style>
  <w:style w:type="paragraph" w:styleId="BlockText">
    <w:name w:val="Block Text"/>
    <w:rsid w:val="00a127a6"/>
    <w:basedOn w:val="Normal"/>
    <w:pPr>
      <w:ind w:left="567" w:right="-766" w:hanging="0"/>
      <w:jc w:val="both"/>
    </w:pPr>
    <w:rPr/>
  </w:style>
  <w:style w:type="paragraph" w:styleId="Style11" w:customStyle="1">
    <w:name w:val="Style1"/>
    <w:rsid w:val="00a127a6"/>
    <w:basedOn w:val="Normal"/>
    <w:pPr>
      <w:numPr>
        <w:ilvl w:val="0"/>
        <w:numId w:val="1"/>
      </w:numPr>
      <w:tabs>
        <w:tab w:val="left" w:pos="567" w:leader="none"/>
      </w:tabs>
      <w:jc w:val="both"/>
    </w:pPr>
    <w:rPr>
      <w:rFonts w:ascii="Arial" w:hAnsi="Arial"/>
      <w:lang w:val="en-GB"/>
    </w:rPr>
  </w:style>
  <w:style w:type="paragraph" w:styleId="Laad1" w:customStyle="1">
    <w:name w:val="Laad1"/>
    <w:rsid w:val="001844af"/>
    <w:basedOn w:val="TextBody"/>
    <w:autoRedefine/>
    <w:pPr/>
    <w:rPr/>
  </w:style>
  <w:style w:type="paragraph" w:styleId="Contents1">
    <w:name w:val="Contents 1"/>
    <w:uiPriority w:val="39"/>
    <w:rsid w:val="005a2079"/>
    <w:basedOn w:val="Normal"/>
    <w:next w:val="Normal"/>
    <w:autoRedefine/>
    <w:pPr>
      <w:tabs>
        <w:tab w:val="left" w:pos="567" w:leader="none"/>
        <w:tab w:val="right" w:pos="9061" w:leader="dot"/>
      </w:tabs>
    </w:pPr>
    <w:rPr>
      <w:b/>
      <w:w w:val="0"/>
    </w:rPr>
  </w:style>
  <w:style w:type="paragraph" w:styleId="Contents2">
    <w:name w:val="Contents 2"/>
    <w:uiPriority w:val="39"/>
    <w:rsid w:val="005a2079"/>
    <w:basedOn w:val="Normal"/>
    <w:next w:val="Normal"/>
    <w:autoRedefine/>
    <w:pPr>
      <w:tabs>
        <w:tab w:val="left" w:pos="993" w:leader="none"/>
        <w:tab w:val="right" w:pos="9061" w:leader="dot"/>
      </w:tabs>
      <w:ind w:left="200" w:right="0" w:hanging="0"/>
    </w:pPr>
    <w:rPr/>
  </w:style>
  <w:style w:type="paragraph" w:styleId="Contents3">
    <w:name w:val="Contents 3"/>
    <w:uiPriority w:val="39"/>
    <w:rsid w:val="005a2079"/>
    <w:basedOn w:val="Normal"/>
    <w:next w:val="Normal"/>
    <w:autoRedefine/>
    <w:pPr>
      <w:tabs>
        <w:tab w:val="left" w:pos="1418" w:leader="none"/>
        <w:tab w:val="right" w:pos="9061" w:leader="dot"/>
      </w:tabs>
      <w:ind w:left="400" w:right="0" w:hanging="0"/>
    </w:pPr>
    <w:rPr/>
  </w:style>
  <w:style w:type="paragraph" w:styleId="BalloonText">
    <w:name w:val="Balloon Text"/>
    <w:semiHidden/>
    <w:rsid w:val="0041431c"/>
    <w:basedOn w:val="Normal"/>
    <w:pPr/>
    <w:rPr>
      <w:rFonts w:ascii="Tahoma" w:hAnsi="Tahoma" w:cs="Tahoma"/>
      <w:sz w:val="16"/>
      <w:szCs w:val="16"/>
    </w:rPr>
  </w:style>
  <w:style w:type="paragraph" w:styleId="Contents4">
    <w:name w:val="Contents 4"/>
    <w:semiHidden/>
    <w:rsid w:val="00830fe3"/>
    <w:basedOn w:val="Normal"/>
    <w:next w:val="Normal"/>
    <w:autoRedefine/>
    <w:pPr>
      <w:ind w:left="600" w:right="0" w:hanging="0"/>
    </w:pPr>
    <w:rPr/>
  </w:style>
  <w:style w:type="paragraph" w:styleId="Contents5">
    <w:name w:val="Contents 5"/>
    <w:semiHidden/>
    <w:rsid w:val="00830fe3"/>
    <w:basedOn w:val="Normal"/>
    <w:next w:val="Normal"/>
    <w:autoRedefine/>
    <w:pPr>
      <w:ind w:left="800" w:right="0" w:hanging="0"/>
    </w:pPr>
    <w:rPr/>
  </w:style>
  <w:style w:type="paragraph" w:styleId="Contents6">
    <w:name w:val="Contents 6"/>
    <w:semiHidden/>
    <w:rsid w:val="00830fe3"/>
    <w:basedOn w:val="Normal"/>
    <w:next w:val="Normal"/>
    <w:autoRedefine/>
    <w:pPr>
      <w:ind w:left="1000" w:right="0" w:hanging="0"/>
    </w:pPr>
    <w:rPr/>
  </w:style>
  <w:style w:type="paragraph" w:styleId="Contents7">
    <w:name w:val="Contents 7"/>
    <w:semiHidden/>
    <w:rsid w:val="00830fe3"/>
    <w:basedOn w:val="Normal"/>
    <w:next w:val="Normal"/>
    <w:autoRedefine/>
    <w:pPr>
      <w:ind w:left="1200" w:right="0" w:hanging="0"/>
    </w:pPr>
    <w:rPr/>
  </w:style>
  <w:style w:type="paragraph" w:styleId="Contents8">
    <w:name w:val="Contents 8"/>
    <w:semiHidden/>
    <w:rsid w:val="00830fe3"/>
    <w:basedOn w:val="Normal"/>
    <w:next w:val="Normal"/>
    <w:autoRedefine/>
    <w:pPr>
      <w:ind w:left="1400" w:right="0" w:hanging="0"/>
    </w:pPr>
    <w:rPr/>
  </w:style>
  <w:style w:type="paragraph" w:styleId="Contents9">
    <w:name w:val="Contents 9"/>
    <w:semiHidden/>
    <w:rsid w:val="00830fe3"/>
    <w:basedOn w:val="Normal"/>
    <w:next w:val="Normal"/>
    <w:autoRedefine/>
    <w:pPr>
      <w:ind w:left="1600" w:right="0" w:hanging="0"/>
    </w:pPr>
    <w:rPr/>
  </w:style>
  <w:style w:type="paragraph" w:styleId="ST11" w:customStyle="1">
    <w:name w:val="ST_1.1"/>
    <w:uiPriority w:val="99"/>
    <w:rsid w:val="007e7cb0"/>
    <w:basedOn w:val="Style11"/>
    <w:pPr>
      <w:keepNext/>
      <w:numPr>
        <w:ilvl w:val="0"/>
        <w:numId w:val="2"/>
      </w:numPr>
      <w:suppressAutoHyphens w:val="true"/>
      <w:ind w:left="0" w:right="0" w:hanging="720"/>
      <w:outlineLvl w:val="3"/>
    </w:pPr>
    <w:rPr>
      <w:rFonts w:ascii="Times New Roman Bold" w:hAnsi="Times New Roman Bold"/>
      <w:b/>
      <w:bCs/>
      <w:caps/>
      <w:sz w:val="24"/>
      <w:lang w:val="et-EE" w:eastAsia="ar-SA"/>
    </w:rPr>
  </w:style>
  <w:style w:type="paragraph" w:styleId="ST111" w:customStyle="1">
    <w:name w:val="ST_1.1.1"/>
    <w:uiPriority w:val="99"/>
    <w:rsid w:val="007e7cb0"/>
    <w:basedOn w:val="Style11"/>
    <w:pPr>
      <w:keepNext/>
      <w:numPr>
        <w:ilvl w:val="0"/>
        <w:numId w:val="2"/>
      </w:numPr>
      <w:suppressAutoHyphens w:val="true"/>
      <w:outlineLvl w:val="3"/>
    </w:pPr>
    <w:rPr>
      <w:rFonts w:ascii="Times New Roman Bold" w:hAnsi="Times New Roman Bold"/>
      <w:b/>
      <w:bCs/>
      <w:sz w:val="24"/>
      <w:lang w:val="et-EE" w:eastAsia="ar-SA"/>
    </w:rPr>
  </w:style>
  <w:style w:type="paragraph" w:styleId="ST12" w:customStyle="1">
    <w:name w:val="ST_1"/>
    <w:uiPriority w:val="99"/>
    <w:rsid w:val="007e7cb0"/>
    <w:basedOn w:val="Style11"/>
    <w:pPr>
      <w:keepNext/>
      <w:numPr>
        <w:ilvl w:val="0"/>
        <w:numId w:val="2"/>
      </w:numPr>
      <w:suppressAutoHyphens w:val="true"/>
      <w:ind w:left="0" w:right="0" w:hanging="720"/>
      <w:outlineLvl w:val="3"/>
    </w:pPr>
    <w:rPr>
      <w:rFonts w:ascii="Times New Roman Bold" w:hAnsi="Times New Roman Bold"/>
      <w:b/>
      <w:bCs/>
      <w:caps/>
      <w:sz w:val="24"/>
      <w:lang w:val="et-EE" w:eastAsia="ar-SA"/>
    </w:rPr>
  </w:style>
  <w:style w:type="paragraph" w:styleId="ST1111" w:customStyle="1">
    <w:name w:val="ST_1.1.1.1"/>
    <w:uiPriority w:val="99"/>
    <w:rsid w:val="007e7cb0"/>
    <w:basedOn w:val="ST111"/>
    <w:pPr>
      <w:numPr>
        <w:ilvl w:val="0"/>
        <w:numId w:val="2"/>
      </w:numPr>
      <w:tabs>
        <w:tab w:val="left" w:pos="1430" w:leader="none"/>
      </w:tabs>
      <w:ind w:left="720" w:right="0" w:hanging="1430"/>
    </w:pPr>
    <w:rPr/>
  </w:style>
  <w:style w:type="paragraph" w:styleId="ST11111" w:customStyle="1">
    <w:name w:val="ST_1.1.1.1.1"/>
    <w:uiPriority w:val="99"/>
    <w:rsid w:val="007e7cb0"/>
    <w:basedOn w:val="ST1111"/>
    <w:pPr>
      <w:numPr>
        <w:ilvl w:val="0"/>
        <w:numId w:val="2"/>
      </w:numPr>
      <w:tabs>
        <w:tab w:val="left" w:pos="1080" w:leader="none"/>
      </w:tabs>
      <w:ind w:left="1077" w:right="0" w:hanging="1077"/>
    </w:pPr>
    <w:rPr>
      <w:rFonts w:ascii="Times New Roman" w:hAnsi="Times New Roman"/>
      <w:b w:val="false"/>
    </w:rPr>
  </w:style>
  <w:style w:type="paragraph" w:styleId="XXXX" w:customStyle="1">
    <w:name w:val="X.X.X.X"/>
    <w:qFormat/>
    <w:rsid w:val="00393e23"/>
    <w:basedOn w:val="XXX"/>
    <w:pPr>
      <w:numPr>
        <w:ilvl w:val="0"/>
        <w:numId w:val="10"/>
      </w:numPr>
      <w:outlineLvl w:val="3"/>
    </w:pPr>
    <w:rPr/>
  </w:style>
  <w:style w:type="paragraph" w:styleId="Endnotetext">
    <w:name w:val="endnote text"/>
    <w:link w:val="EndnoteTextChar"/>
    <w:rsid w:val="00be0960"/>
    <w:basedOn w:val="Normal"/>
    <w:pPr/>
    <w:rPr>
      <w:sz w:val="20"/>
      <w:szCs w:val="20"/>
    </w:rPr>
  </w:style>
  <w:style w:type="paragraph" w:styleId="Footnotetext">
    <w:name w:val="footnote text"/>
    <w:link w:val="FootnoteTextChar"/>
    <w:rsid w:val="00be0960"/>
    <w:basedOn w:val="Normal"/>
    <w:pPr/>
    <w:rPr>
      <w:sz w:val="20"/>
      <w:szCs w:val="20"/>
    </w:rPr>
  </w:style>
  <w:style w:type="paragraph" w:styleId="ContentsHeading">
    <w:name w:val="Contents Heading"/>
    <w:uiPriority w:val="99"/>
    <w:qFormat/>
    <w:unhideWhenUsed/>
    <w:rsid w:val="0057034d"/>
    <w:basedOn w:val="Heading1"/>
    <w:next w:val="Normal"/>
    <w:pPr>
      <w:keepLines/>
      <w:spacing w:lineRule="auto" w:line="276" w:before="480" w:after="0"/>
      <w:jc w:val="left"/>
    </w:pPr>
    <w:rPr>
      <w:rFonts w:ascii="Cambria" w:hAnsi="Cambria" w:cs=""/>
      <w:bCs/>
      <w:caps w:val="false"/>
      <w:smallCaps w:val="false"/>
      <w:color w:val="365F91"/>
      <w:sz w:val="28"/>
      <w:szCs w:val="28"/>
      <w:lang w:val="en-US"/>
    </w:rPr>
  </w:style>
  <w:style w:type="paragraph" w:styleId="Jutumullitekst1" w:customStyle="1">
    <w:name w:val="Jutumullitekst1"/>
    <w:semiHidden/>
    <w:rsid w:val="004f2d1a"/>
    <w:basedOn w:val="Normal"/>
    <w:pPr>
      <w:spacing w:lineRule="auto" w:line="312"/>
      <w:jc w:val="both"/>
    </w:pPr>
    <w:rPr>
      <w:rFonts w:ascii="Tahoma" w:hAnsi="Tahoma" w:cs="Verdana"/>
      <w:sz w:val="16"/>
      <w:szCs w:val="16"/>
      <w:lang w:eastAsia="et-EE"/>
    </w:rPr>
  </w:style>
  <w:style w:type="paragraph" w:styleId="Caption1">
    <w:name w:val="caption"/>
    <w:qFormat/>
    <w:rsid w:val="004f2d1a"/>
    <w:basedOn w:val="Normal"/>
    <w:next w:val="Normal"/>
    <w:pPr>
      <w:spacing w:lineRule="auto" w:line="312"/>
      <w:jc w:val="both"/>
    </w:pPr>
    <w:rPr>
      <w:b/>
      <w:bCs/>
      <w:sz w:val="20"/>
      <w:szCs w:val="20"/>
      <w:lang w:eastAsia="et-EE"/>
    </w:rPr>
  </w:style>
  <w:style w:type="paragraph" w:styleId="NoSpacing">
    <w:name w:val="No Spacing"/>
    <w:qFormat/>
    <w:rsid w:val="004f2d1a"/>
    <w:pPr>
      <w:widowControl/>
      <w:suppressAutoHyphens w:val="true"/>
      <w:bidi w:val="0"/>
      <w:jc w:val="left"/>
    </w:pPr>
    <w:rPr>
      <w:rFonts w:eastAsia="Calibri" w:ascii="Calibri" w:hAnsi="Calibri" w:cs="Times New Roman"/>
      <w:color w:val="auto"/>
      <w:sz w:val="22"/>
      <w:szCs w:val="20"/>
      <w:lang w:val="et-EE" w:eastAsia="et-EE" w:bidi="ar-SA"/>
    </w:rPr>
  </w:style>
  <w:style w:type="paragraph" w:styleId="ListParagraph">
    <w:name w:val="List Paragraph"/>
    <w:qFormat/>
    <w:rsid w:val="004f2d1a"/>
    <w:basedOn w:val="Normal"/>
    <w:pPr>
      <w:spacing w:lineRule="auto" w:line="276" w:before="0" w:after="200"/>
      <w:ind w:left="720" w:right="0" w:hanging="0"/>
    </w:pPr>
    <w:rPr>
      <w:rFonts w:eastAsia="Calibri"/>
      <w:lang w:eastAsia="et-EE"/>
    </w:rPr>
  </w:style>
  <w:style w:type="paragraph" w:styleId="PlainText">
    <w:name w:val="Plain Text"/>
    <w:uiPriority w:val="99"/>
    <w:unhideWhenUsed/>
    <w:link w:val="PlainTextChar"/>
    <w:rsid w:val="0013082d"/>
    <w:basedOn w:val="Normal"/>
    <w:pPr/>
    <w:rPr>
      <w:rFonts w:ascii="Consolas" w:hAnsi="Consolas" w:eastAsia="SimSun"/>
      <w:sz w:val="21"/>
      <w:szCs w:val="21"/>
      <w:lang w:val="en-US" w:eastAsia="zh-CN"/>
    </w:rPr>
  </w:style>
  <w:style w:type="paragraph" w:styleId="Bodym" w:customStyle="1">
    <w:name w:val="Bodym"/>
    <w:uiPriority w:val="99"/>
    <w:link w:val="BodymChar"/>
    <w:rsid w:val="0013082d"/>
    <w:basedOn w:val="Normal"/>
    <w:pPr>
      <w:numPr>
        <w:ilvl w:val="0"/>
        <w:numId w:val="4"/>
      </w:numPr>
      <w:spacing w:before="80" w:after="0"/>
      <w:jc w:val="both"/>
    </w:pPr>
    <w:rPr/>
  </w:style>
  <w:style w:type="paragraph" w:styleId="StyleXLeft" w:customStyle="1">
    <w:name w:val="Style X. + Left"/>
    <w:rsid w:val="002f2301"/>
    <w:basedOn w:val="X"/>
    <w:pPr/>
    <w:rPr>
      <w:bCs/>
      <w:szCs w:val="20"/>
    </w:rPr>
  </w:style>
  <w:style w:type="paragraph" w:styleId="ListBullet1" w:customStyle="1">
    <w:name w:val="List Bullet1"/>
    <w:uiPriority w:val="5"/>
    <w:qFormat/>
    <w:rsid w:val="003f1c60"/>
    <w:basedOn w:val="Normal"/>
    <w:pPr>
      <w:numPr>
        <w:ilvl w:val="0"/>
        <w:numId w:val="7"/>
      </w:numPr>
      <w:spacing w:before="0" w:after="0"/>
      <w:contextualSpacing/>
      <w:jc w:val="both"/>
    </w:pPr>
    <w:rPr>
      <w:rFonts w:ascii="Times New Roman" w:hAnsi="Times New Roman"/>
      <w:sz w:val="24"/>
      <w:szCs w:val="24"/>
    </w:rPr>
  </w:style>
  <w:style w:type="paragraph" w:styleId="Seletus" w:customStyle="1">
    <w:name w:val="Seletus"/>
    <w:uiPriority w:val="99"/>
    <w:rsid w:val="0024376d"/>
    <w:basedOn w:val="Normal"/>
    <w:pPr>
      <w:ind w:left="1276" w:right="0" w:hanging="0"/>
    </w:pPr>
    <w:rPr>
      <w:rFonts w:ascii="Times New Roman" w:hAnsi="Times New Roman"/>
      <w:sz w:val="24"/>
      <w:szCs w:val="20"/>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 w:type="table" w:styleId="TableGrid">
    <w:name w:val="Table Grid"/>
    <w:basedOn w:val="TableNormal"/>
    <w:rsid w:val="00a127a6"/>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javascript:;"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E9879-268E-4B37-9425-E32184B23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2016-09-02T06:58:00Z</dcterms:created>
  <dc:creator>Viivo Siimpoeg</dc:creator>
  <dc:language>et-EE</dc:language>
  <cp:lastModifiedBy>Kalle Linask</cp:lastModifiedBy>
  <cp:lastPrinted>2015-09-07T12:28:00Z</cp:lastPrinted>
  <dcterms:modified xsi:type="dcterms:W3CDTF">2016-09-02T14:46:00Z</dcterms:modified>
  <cp:revision>9</cp:revision>
  <dc:subject>PD</dc:subject>
  <dc:title>Seletuskiri</dc:title>
</cp:coreProperties>
</file>